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7B1B1" w14:textId="77777777" w:rsidR="009C6F74" w:rsidRPr="00686853" w:rsidRDefault="009C6F74" w:rsidP="009C6F74">
      <w:pPr>
        <w:rPr>
          <w:rFonts w:ascii="Arial" w:hAnsi="Arial" w:cs="Arial"/>
          <w:sz w:val="22"/>
          <w:szCs w:val="22"/>
        </w:rPr>
      </w:pPr>
    </w:p>
    <w:p w14:paraId="5EB8BCF3" w14:textId="77777777" w:rsidR="008F3E01" w:rsidRPr="00B73415" w:rsidRDefault="008F3E01" w:rsidP="008F3E01">
      <w:pPr>
        <w:rPr>
          <w:rFonts w:ascii="Arial" w:hAnsi="Arial" w:cs="Arial"/>
          <w:b/>
          <w:bCs/>
          <w:i/>
          <w:kern w:val="32"/>
          <w:sz w:val="24"/>
          <w:szCs w:val="24"/>
          <w:u w:val="single"/>
        </w:rPr>
      </w:pPr>
      <w:r>
        <w:rPr>
          <w:rFonts w:ascii="Arial" w:hAnsi="Arial" w:cs="Arial"/>
          <w:b/>
          <w:bCs/>
          <w:i/>
          <w:kern w:val="32"/>
          <w:sz w:val="24"/>
          <w:szCs w:val="24"/>
          <w:u w:val="single"/>
        </w:rPr>
        <w:t>Introduction:</w:t>
      </w:r>
    </w:p>
    <w:p w14:paraId="7035AB76" w14:textId="77777777" w:rsidR="008F3E01" w:rsidRDefault="008F3E01" w:rsidP="00422FA2">
      <w:pPr>
        <w:rPr>
          <w:rFonts w:ascii="Arial" w:hAnsi="Arial" w:cs="Arial"/>
          <w:sz w:val="22"/>
          <w:szCs w:val="22"/>
        </w:rPr>
      </w:pPr>
    </w:p>
    <w:p w14:paraId="55FFD15E" w14:textId="77777777" w:rsidR="008A4BD3" w:rsidRDefault="008A4BD3" w:rsidP="00422FA2">
      <w:pPr>
        <w:rPr>
          <w:rFonts w:ascii="Arial" w:hAnsi="Arial" w:cs="Arial"/>
          <w:sz w:val="22"/>
          <w:szCs w:val="22"/>
        </w:rPr>
      </w:pPr>
    </w:p>
    <w:p w14:paraId="520FD498" w14:textId="77373EA9" w:rsidR="00422FA2" w:rsidRDefault="00422FA2" w:rsidP="00422FA2">
      <w:pPr>
        <w:rPr>
          <w:rFonts w:ascii="Arial" w:hAnsi="Arial" w:cs="Arial"/>
          <w:sz w:val="22"/>
          <w:szCs w:val="22"/>
        </w:rPr>
      </w:pPr>
      <w:r>
        <w:rPr>
          <w:rFonts w:ascii="Arial" w:hAnsi="Arial" w:cs="Arial"/>
          <w:sz w:val="22"/>
          <w:szCs w:val="22"/>
        </w:rPr>
        <w:t>Upon the conclusion of a Distribution</w:t>
      </w:r>
      <w:r w:rsidR="00444EC5">
        <w:rPr>
          <w:rFonts w:ascii="Arial" w:hAnsi="Arial" w:cs="Arial"/>
          <w:sz w:val="22"/>
          <w:szCs w:val="22"/>
        </w:rPr>
        <w:t xml:space="preserve">/Intermediary </w:t>
      </w:r>
      <w:r>
        <w:rPr>
          <w:rFonts w:ascii="Arial" w:hAnsi="Arial" w:cs="Arial"/>
          <w:sz w:val="22"/>
          <w:szCs w:val="22"/>
        </w:rPr>
        <w:t>Agreement, t</w:t>
      </w:r>
      <w:r w:rsidRPr="00D0412F">
        <w:rPr>
          <w:rFonts w:ascii="Arial" w:hAnsi="Arial" w:cs="Arial"/>
          <w:sz w:val="22"/>
          <w:szCs w:val="22"/>
        </w:rPr>
        <w:t xml:space="preserve">he terms to be used within the </w:t>
      </w:r>
      <w:r>
        <w:rPr>
          <w:rFonts w:ascii="Arial" w:hAnsi="Arial" w:cs="Arial"/>
          <w:sz w:val="22"/>
          <w:szCs w:val="22"/>
        </w:rPr>
        <w:t>Rebate</w:t>
      </w:r>
      <w:r w:rsidRPr="00D0412F">
        <w:rPr>
          <w:rFonts w:ascii="Arial" w:hAnsi="Arial" w:cs="Arial"/>
          <w:sz w:val="22"/>
          <w:szCs w:val="22"/>
        </w:rPr>
        <w:t xml:space="preserve"> calculation are either specified directly within the </w:t>
      </w:r>
      <w:r>
        <w:rPr>
          <w:rFonts w:ascii="Arial" w:hAnsi="Arial" w:cs="Arial"/>
          <w:sz w:val="22"/>
          <w:szCs w:val="22"/>
        </w:rPr>
        <w:t>main ag</w:t>
      </w:r>
      <w:r w:rsidRPr="00D0412F">
        <w:rPr>
          <w:rFonts w:ascii="Arial" w:hAnsi="Arial" w:cs="Arial"/>
          <w:sz w:val="22"/>
          <w:szCs w:val="22"/>
        </w:rPr>
        <w:t>reement or via specific side letters attached to the agreement.</w:t>
      </w:r>
      <w:r>
        <w:rPr>
          <w:rFonts w:ascii="Arial" w:hAnsi="Arial" w:cs="Arial"/>
          <w:sz w:val="22"/>
          <w:szCs w:val="22"/>
        </w:rPr>
        <w:t xml:space="preserve"> </w:t>
      </w:r>
    </w:p>
    <w:p w14:paraId="445BB611" w14:textId="77777777" w:rsidR="00422FA2" w:rsidRDefault="00422FA2" w:rsidP="00422FA2">
      <w:pPr>
        <w:rPr>
          <w:rFonts w:ascii="Arial" w:hAnsi="Arial" w:cs="Arial"/>
          <w:sz w:val="22"/>
          <w:szCs w:val="22"/>
        </w:rPr>
      </w:pPr>
    </w:p>
    <w:p w14:paraId="0D6484C4" w14:textId="0867C3F0" w:rsidR="00422FA2" w:rsidRDefault="00422FA2" w:rsidP="00422FA2">
      <w:pPr>
        <w:rPr>
          <w:rFonts w:ascii="Arial" w:hAnsi="Arial" w:cs="Arial"/>
          <w:sz w:val="22"/>
          <w:szCs w:val="22"/>
        </w:rPr>
      </w:pPr>
      <w:r w:rsidRPr="004832B1">
        <w:rPr>
          <w:rFonts w:ascii="Arial" w:hAnsi="Arial" w:cs="Arial"/>
          <w:sz w:val="22"/>
          <w:szCs w:val="22"/>
        </w:rPr>
        <w:t xml:space="preserve">The subsequent calculation and provision of all </w:t>
      </w:r>
      <w:r>
        <w:rPr>
          <w:rFonts w:ascii="Arial" w:hAnsi="Arial" w:cs="Arial"/>
          <w:sz w:val="22"/>
          <w:szCs w:val="22"/>
        </w:rPr>
        <w:t>Rebates</w:t>
      </w:r>
      <w:r w:rsidRPr="004832B1">
        <w:rPr>
          <w:rFonts w:ascii="Arial" w:hAnsi="Arial" w:cs="Arial"/>
          <w:sz w:val="22"/>
          <w:szCs w:val="22"/>
        </w:rPr>
        <w:t xml:space="preserve"> related services is </w:t>
      </w:r>
      <w:r>
        <w:rPr>
          <w:rFonts w:ascii="Arial" w:hAnsi="Arial" w:cs="Arial"/>
          <w:sz w:val="22"/>
          <w:szCs w:val="22"/>
        </w:rPr>
        <w:t xml:space="preserve">done through </w:t>
      </w:r>
      <w:r w:rsidRPr="004832B1">
        <w:rPr>
          <w:rFonts w:ascii="Arial" w:hAnsi="Arial" w:cs="Arial"/>
          <w:sz w:val="22"/>
          <w:szCs w:val="22"/>
        </w:rPr>
        <w:t xml:space="preserve">the </w:t>
      </w:r>
      <w:r w:rsidR="00BA2DA3">
        <w:rPr>
          <w:rFonts w:ascii="Arial" w:hAnsi="Arial" w:cs="Arial"/>
          <w:sz w:val="22"/>
          <w:szCs w:val="22"/>
        </w:rPr>
        <w:t>Revenue</w:t>
      </w:r>
      <w:r w:rsidR="004810A5">
        <w:rPr>
          <w:rFonts w:ascii="Arial" w:hAnsi="Arial" w:cs="Arial"/>
          <w:sz w:val="22"/>
          <w:szCs w:val="22"/>
        </w:rPr>
        <w:t>s</w:t>
      </w:r>
      <w:r w:rsidR="00BA2DA3">
        <w:rPr>
          <w:rFonts w:ascii="Arial" w:hAnsi="Arial" w:cs="Arial"/>
          <w:sz w:val="22"/>
          <w:szCs w:val="22"/>
        </w:rPr>
        <w:t xml:space="preserve"> </w:t>
      </w:r>
      <w:r w:rsidR="004810A5">
        <w:rPr>
          <w:rFonts w:ascii="Arial" w:hAnsi="Arial" w:cs="Arial"/>
          <w:sz w:val="22"/>
          <w:szCs w:val="22"/>
        </w:rPr>
        <w:t xml:space="preserve">Operations </w:t>
      </w:r>
      <w:r w:rsidR="00866E0F">
        <w:rPr>
          <w:rFonts w:ascii="Arial" w:hAnsi="Arial" w:cs="Arial"/>
          <w:sz w:val="22"/>
          <w:szCs w:val="22"/>
        </w:rPr>
        <w:t>team</w:t>
      </w:r>
      <w:r>
        <w:rPr>
          <w:rFonts w:ascii="Arial" w:hAnsi="Arial" w:cs="Arial"/>
          <w:sz w:val="22"/>
          <w:szCs w:val="22"/>
        </w:rPr>
        <w:t xml:space="preserve"> within Schroders Investment Management (</w:t>
      </w:r>
      <w:r w:rsidR="004810A5">
        <w:rPr>
          <w:rFonts w:ascii="Arial" w:hAnsi="Arial" w:cs="Arial"/>
          <w:sz w:val="22"/>
          <w:szCs w:val="22"/>
        </w:rPr>
        <w:t>Europe</w:t>
      </w:r>
      <w:r>
        <w:rPr>
          <w:rFonts w:ascii="Arial" w:hAnsi="Arial" w:cs="Arial"/>
          <w:sz w:val="22"/>
          <w:szCs w:val="22"/>
        </w:rPr>
        <w:t>) S.A.</w:t>
      </w:r>
    </w:p>
    <w:p w14:paraId="64461DD4" w14:textId="77777777" w:rsidR="00422FA2" w:rsidRDefault="00422FA2">
      <w:pPr>
        <w:rPr>
          <w:rFonts w:ascii="Arial" w:hAnsi="Arial" w:cs="Arial"/>
          <w:sz w:val="22"/>
          <w:szCs w:val="22"/>
        </w:rPr>
      </w:pPr>
    </w:p>
    <w:p w14:paraId="70F34AEB" w14:textId="77777777" w:rsidR="008F3E01" w:rsidRDefault="008F3E01">
      <w:pPr>
        <w:rPr>
          <w:rFonts w:ascii="Arial" w:hAnsi="Arial" w:cs="Arial"/>
          <w:sz w:val="22"/>
          <w:szCs w:val="22"/>
        </w:rPr>
      </w:pPr>
      <w:r>
        <w:rPr>
          <w:rFonts w:ascii="Arial" w:hAnsi="Arial" w:cs="Arial"/>
          <w:sz w:val="22"/>
          <w:szCs w:val="22"/>
        </w:rPr>
        <w:t>This memo will give an outline of the rebate process which is described under the following headings:</w:t>
      </w:r>
    </w:p>
    <w:p w14:paraId="408E11B5" w14:textId="77777777" w:rsidR="008F3E01" w:rsidRPr="008F3E01" w:rsidRDefault="008F3E01" w:rsidP="008F3E01">
      <w:pPr>
        <w:numPr>
          <w:ilvl w:val="0"/>
          <w:numId w:val="23"/>
        </w:numPr>
        <w:rPr>
          <w:rFonts w:ascii="Arial" w:hAnsi="Arial" w:cs="Arial"/>
          <w:sz w:val="22"/>
          <w:szCs w:val="22"/>
        </w:rPr>
      </w:pPr>
      <w:r w:rsidRPr="008F3E01">
        <w:rPr>
          <w:rFonts w:ascii="Arial" w:hAnsi="Arial" w:cs="Arial"/>
          <w:sz w:val="22"/>
          <w:szCs w:val="22"/>
        </w:rPr>
        <w:t>Calc</w:t>
      </w:r>
      <w:r w:rsidR="00985B03">
        <w:rPr>
          <w:rFonts w:ascii="Arial" w:hAnsi="Arial" w:cs="Arial"/>
          <w:sz w:val="22"/>
          <w:szCs w:val="22"/>
        </w:rPr>
        <w:t>ulation methodologies supported</w:t>
      </w:r>
    </w:p>
    <w:p w14:paraId="254A1BCE" w14:textId="77777777" w:rsidR="008F3E01" w:rsidRPr="008F3E01" w:rsidRDefault="008F3E01" w:rsidP="008F3E01">
      <w:pPr>
        <w:numPr>
          <w:ilvl w:val="0"/>
          <w:numId w:val="23"/>
        </w:numPr>
        <w:rPr>
          <w:rFonts w:ascii="Arial" w:hAnsi="Arial" w:cs="Arial"/>
          <w:sz w:val="22"/>
          <w:szCs w:val="22"/>
        </w:rPr>
      </w:pPr>
      <w:r w:rsidRPr="008F3E01">
        <w:rPr>
          <w:rFonts w:ascii="Arial" w:hAnsi="Arial" w:cs="Arial"/>
          <w:sz w:val="22"/>
          <w:szCs w:val="22"/>
        </w:rPr>
        <w:t>Contacts</w:t>
      </w:r>
    </w:p>
    <w:p w14:paraId="27197984" w14:textId="77777777" w:rsidR="008F3E01" w:rsidRPr="008F3E01" w:rsidRDefault="008F3E01" w:rsidP="008F3E01">
      <w:pPr>
        <w:numPr>
          <w:ilvl w:val="0"/>
          <w:numId w:val="23"/>
        </w:numPr>
        <w:rPr>
          <w:rFonts w:ascii="Arial" w:hAnsi="Arial" w:cs="Arial"/>
          <w:sz w:val="22"/>
          <w:szCs w:val="22"/>
        </w:rPr>
      </w:pPr>
      <w:r w:rsidRPr="008F3E01">
        <w:rPr>
          <w:rFonts w:ascii="Arial" w:hAnsi="Arial" w:cs="Arial"/>
          <w:sz w:val="22"/>
          <w:szCs w:val="22"/>
        </w:rPr>
        <w:t>Timing, communication and payment of Rebates</w:t>
      </w:r>
    </w:p>
    <w:p w14:paraId="175781F7" w14:textId="77777777" w:rsidR="008F3E01" w:rsidRDefault="008F3E01">
      <w:pPr>
        <w:rPr>
          <w:rFonts w:ascii="Arial" w:hAnsi="Arial" w:cs="Arial"/>
          <w:sz w:val="22"/>
          <w:szCs w:val="22"/>
        </w:rPr>
      </w:pPr>
    </w:p>
    <w:p w14:paraId="13219F60" w14:textId="77777777" w:rsidR="00422FA2" w:rsidRDefault="00422FA2">
      <w:pPr>
        <w:rPr>
          <w:rFonts w:ascii="Arial" w:hAnsi="Arial" w:cs="Arial"/>
          <w:sz w:val="22"/>
          <w:szCs w:val="22"/>
        </w:rPr>
      </w:pPr>
    </w:p>
    <w:p w14:paraId="0BEBD3A9" w14:textId="77777777" w:rsidR="0023281C" w:rsidRPr="00B73415" w:rsidRDefault="0023281C" w:rsidP="008F3E01">
      <w:pPr>
        <w:numPr>
          <w:ilvl w:val="0"/>
          <w:numId w:val="25"/>
        </w:numPr>
        <w:rPr>
          <w:rFonts w:ascii="Arial" w:hAnsi="Arial" w:cs="Arial"/>
          <w:b/>
          <w:bCs/>
          <w:i/>
          <w:kern w:val="32"/>
          <w:sz w:val="24"/>
          <w:szCs w:val="24"/>
          <w:u w:val="single"/>
        </w:rPr>
      </w:pPr>
      <w:r w:rsidRPr="00B73415">
        <w:rPr>
          <w:rFonts w:ascii="Arial" w:hAnsi="Arial" w:cs="Arial"/>
          <w:b/>
          <w:bCs/>
          <w:i/>
          <w:kern w:val="32"/>
          <w:sz w:val="24"/>
          <w:szCs w:val="24"/>
          <w:u w:val="single"/>
        </w:rPr>
        <w:t>Calculation methodologies supported:</w:t>
      </w:r>
    </w:p>
    <w:p w14:paraId="7123AD31" w14:textId="77777777" w:rsidR="0023281C" w:rsidRDefault="0023281C" w:rsidP="0023281C">
      <w:pPr>
        <w:pStyle w:val="Style2"/>
        <w:numPr>
          <w:ilvl w:val="0"/>
          <w:numId w:val="0"/>
        </w:numPr>
        <w:jc w:val="both"/>
        <w:rPr>
          <w:b/>
          <w:i/>
          <w:u w:val="none"/>
        </w:rPr>
      </w:pPr>
    </w:p>
    <w:p w14:paraId="00B836DA" w14:textId="77777777" w:rsidR="008A4BD3" w:rsidRPr="00A853CC" w:rsidRDefault="008A4BD3" w:rsidP="0023281C">
      <w:pPr>
        <w:pStyle w:val="Style2"/>
        <w:numPr>
          <w:ilvl w:val="0"/>
          <w:numId w:val="0"/>
        </w:numPr>
        <w:jc w:val="both"/>
        <w:rPr>
          <w:b/>
          <w:i/>
          <w:u w:val="none"/>
        </w:rPr>
      </w:pPr>
    </w:p>
    <w:p w14:paraId="361CFB06" w14:textId="77777777" w:rsidR="0023281C" w:rsidRDefault="0023281C" w:rsidP="0023281C">
      <w:pPr>
        <w:rPr>
          <w:rFonts w:ascii="Arial" w:hAnsi="Arial" w:cs="Arial"/>
          <w:sz w:val="22"/>
          <w:szCs w:val="22"/>
        </w:rPr>
      </w:pPr>
      <w:r w:rsidRPr="009C6F74">
        <w:rPr>
          <w:rFonts w:ascii="Arial" w:hAnsi="Arial" w:cs="Arial"/>
          <w:sz w:val="22"/>
          <w:szCs w:val="22"/>
        </w:rPr>
        <w:t xml:space="preserve">The </w:t>
      </w:r>
      <w:r>
        <w:rPr>
          <w:rFonts w:ascii="Arial" w:hAnsi="Arial" w:cs="Arial"/>
          <w:sz w:val="22"/>
          <w:szCs w:val="22"/>
        </w:rPr>
        <w:t xml:space="preserve">rebates </w:t>
      </w:r>
      <w:r w:rsidRPr="009C6F74">
        <w:rPr>
          <w:rFonts w:ascii="Arial" w:hAnsi="Arial" w:cs="Arial"/>
          <w:sz w:val="22"/>
          <w:szCs w:val="22"/>
        </w:rPr>
        <w:t>can be</w:t>
      </w:r>
      <w:r>
        <w:rPr>
          <w:rFonts w:ascii="Arial" w:hAnsi="Arial" w:cs="Arial"/>
          <w:sz w:val="22"/>
          <w:szCs w:val="22"/>
        </w:rPr>
        <w:t xml:space="preserve"> expressed as:</w:t>
      </w:r>
    </w:p>
    <w:p w14:paraId="10D6E701" w14:textId="77777777" w:rsidR="0023281C" w:rsidRDefault="0023281C" w:rsidP="0023281C">
      <w:pPr>
        <w:rPr>
          <w:rFonts w:ascii="Arial" w:hAnsi="Arial" w:cs="Arial"/>
          <w:sz w:val="22"/>
          <w:szCs w:val="22"/>
        </w:rPr>
      </w:pPr>
    </w:p>
    <w:p w14:paraId="1F68DDCB" w14:textId="77777777" w:rsidR="0023281C" w:rsidRDefault="0023281C" w:rsidP="0023281C">
      <w:pPr>
        <w:numPr>
          <w:ilvl w:val="0"/>
          <w:numId w:val="13"/>
        </w:numPr>
        <w:rPr>
          <w:rFonts w:ascii="Arial" w:hAnsi="Arial" w:cs="Arial"/>
          <w:sz w:val="22"/>
          <w:szCs w:val="22"/>
        </w:rPr>
      </w:pPr>
      <w:r w:rsidRPr="009C6F74">
        <w:rPr>
          <w:rFonts w:ascii="Arial" w:hAnsi="Arial" w:cs="Arial"/>
          <w:sz w:val="22"/>
          <w:szCs w:val="22"/>
        </w:rPr>
        <w:t xml:space="preserve">a </w:t>
      </w:r>
      <w:r>
        <w:rPr>
          <w:rFonts w:ascii="Arial" w:hAnsi="Arial" w:cs="Arial"/>
          <w:sz w:val="22"/>
          <w:szCs w:val="22"/>
        </w:rPr>
        <w:t xml:space="preserve">percentage </w:t>
      </w:r>
      <w:r w:rsidRPr="009C6F74">
        <w:rPr>
          <w:rFonts w:ascii="Arial" w:hAnsi="Arial" w:cs="Arial"/>
          <w:sz w:val="22"/>
          <w:szCs w:val="22"/>
        </w:rPr>
        <w:t>of the Annual Management Fee</w:t>
      </w:r>
      <w:r w:rsidR="00641FF8">
        <w:rPr>
          <w:rFonts w:ascii="Arial" w:hAnsi="Arial" w:cs="Arial"/>
          <w:sz w:val="22"/>
          <w:szCs w:val="22"/>
        </w:rPr>
        <w:t xml:space="preserve"> or/and  Annual Distribution Fee rat</w:t>
      </w:r>
      <w:r w:rsidRPr="009C6F74">
        <w:rPr>
          <w:rFonts w:ascii="Arial" w:hAnsi="Arial" w:cs="Arial"/>
          <w:sz w:val="22"/>
          <w:szCs w:val="22"/>
        </w:rPr>
        <w:t>e of the fund</w:t>
      </w:r>
      <w:r>
        <w:rPr>
          <w:rFonts w:ascii="Arial" w:hAnsi="Arial" w:cs="Arial"/>
          <w:sz w:val="22"/>
          <w:szCs w:val="22"/>
        </w:rPr>
        <w:t xml:space="preserve"> or</w:t>
      </w:r>
    </w:p>
    <w:p w14:paraId="151172B7" w14:textId="77777777" w:rsidR="0023281C" w:rsidRDefault="0023281C" w:rsidP="0023281C">
      <w:pPr>
        <w:ind w:left="360"/>
        <w:rPr>
          <w:rFonts w:ascii="Arial" w:hAnsi="Arial" w:cs="Arial"/>
          <w:sz w:val="22"/>
          <w:szCs w:val="22"/>
        </w:rPr>
      </w:pPr>
    </w:p>
    <w:p w14:paraId="596A9246" w14:textId="77777777" w:rsidR="0023281C" w:rsidRPr="009C6F74" w:rsidRDefault="0023281C" w:rsidP="0023281C">
      <w:pPr>
        <w:numPr>
          <w:ilvl w:val="0"/>
          <w:numId w:val="13"/>
        </w:numPr>
        <w:rPr>
          <w:rFonts w:ascii="Arial" w:hAnsi="Arial" w:cs="Arial"/>
          <w:sz w:val="22"/>
          <w:szCs w:val="22"/>
        </w:rPr>
      </w:pPr>
      <w:r>
        <w:rPr>
          <w:rFonts w:ascii="Arial" w:hAnsi="Arial" w:cs="Arial"/>
          <w:sz w:val="22"/>
          <w:szCs w:val="22"/>
        </w:rPr>
        <w:t xml:space="preserve">a </w:t>
      </w:r>
      <w:r w:rsidRPr="009C6F74">
        <w:rPr>
          <w:rFonts w:ascii="Arial" w:hAnsi="Arial" w:cs="Arial"/>
          <w:sz w:val="22"/>
          <w:szCs w:val="22"/>
        </w:rPr>
        <w:t xml:space="preserve">percentage of the </w:t>
      </w:r>
      <w:r w:rsidR="00C24F06">
        <w:rPr>
          <w:rFonts w:ascii="Arial" w:hAnsi="Arial" w:cs="Arial"/>
          <w:sz w:val="22"/>
          <w:szCs w:val="22"/>
        </w:rPr>
        <w:t>D</w:t>
      </w:r>
      <w:r>
        <w:rPr>
          <w:rFonts w:ascii="Arial" w:hAnsi="Arial" w:cs="Arial"/>
          <w:sz w:val="22"/>
          <w:szCs w:val="22"/>
        </w:rPr>
        <w:t>istributor</w:t>
      </w:r>
      <w:r w:rsidRPr="009C6F74">
        <w:rPr>
          <w:rFonts w:ascii="Arial" w:hAnsi="Arial" w:cs="Arial"/>
          <w:sz w:val="22"/>
          <w:szCs w:val="22"/>
        </w:rPr>
        <w:t xml:space="preserve">’s </w:t>
      </w:r>
      <w:r w:rsidR="00C24F06">
        <w:rPr>
          <w:rFonts w:ascii="Arial" w:hAnsi="Arial" w:cs="Arial"/>
          <w:sz w:val="22"/>
          <w:szCs w:val="22"/>
        </w:rPr>
        <w:t>H</w:t>
      </w:r>
      <w:r w:rsidRPr="009C6F74">
        <w:rPr>
          <w:rFonts w:ascii="Arial" w:hAnsi="Arial" w:cs="Arial"/>
          <w:sz w:val="22"/>
          <w:szCs w:val="22"/>
        </w:rPr>
        <w:t>oldings</w:t>
      </w:r>
      <w:r>
        <w:rPr>
          <w:rFonts w:ascii="Arial" w:hAnsi="Arial" w:cs="Arial"/>
          <w:sz w:val="22"/>
          <w:szCs w:val="22"/>
        </w:rPr>
        <w:t>.</w:t>
      </w:r>
      <w:r w:rsidRPr="009C6F74">
        <w:rPr>
          <w:rFonts w:ascii="Arial" w:hAnsi="Arial" w:cs="Arial"/>
          <w:sz w:val="22"/>
          <w:szCs w:val="22"/>
        </w:rPr>
        <w:t xml:space="preserve"> </w:t>
      </w:r>
    </w:p>
    <w:p w14:paraId="687A5F52" w14:textId="77777777" w:rsidR="0023281C" w:rsidRDefault="0023281C" w:rsidP="0023281C">
      <w:pPr>
        <w:rPr>
          <w:rFonts w:ascii="Arial" w:hAnsi="Arial" w:cs="Arial"/>
          <w:sz w:val="22"/>
          <w:szCs w:val="22"/>
        </w:rPr>
      </w:pPr>
    </w:p>
    <w:p w14:paraId="39A7A91A" w14:textId="77777777" w:rsidR="00357701" w:rsidRDefault="00357701" w:rsidP="0023281C">
      <w:pPr>
        <w:rPr>
          <w:rFonts w:ascii="Arial" w:hAnsi="Arial" w:cs="Arial"/>
          <w:sz w:val="22"/>
          <w:szCs w:val="22"/>
        </w:rPr>
      </w:pPr>
    </w:p>
    <w:p w14:paraId="700F1BE4" w14:textId="2329ACE3" w:rsidR="0023281C" w:rsidRDefault="0023281C" w:rsidP="00A02A0B">
      <w:pPr>
        <w:rPr>
          <w:rFonts w:ascii="Arial" w:hAnsi="Arial" w:cs="Arial"/>
          <w:sz w:val="22"/>
          <w:szCs w:val="22"/>
        </w:rPr>
      </w:pPr>
      <w:r>
        <w:rPr>
          <w:rFonts w:ascii="Arial" w:hAnsi="Arial" w:cs="Arial"/>
          <w:sz w:val="22"/>
          <w:szCs w:val="22"/>
        </w:rPr>
        <w:t xml:space="preserve">Rebates are </w:t>
      </w:r>
      <w:r w:rsidR="00BA2DA3">
        <w:rPr>
          <w:rFonts w:ascii="Arial" w:hAnsi="Arial" w:cs="Arial"/>
          <w:sz w:val="22"/>
          <w:szCs w:val="22"/>
        </w:rPr>
        <w:t xml:space="preserve">typically </w:t>
      </w:r>
      <w:r>
        <w:rPr>
          <w:rFonts w:ascii="Arial" w:hAnsi="Arial" w:cs="Arial"/>
          <w:sz w:val="22"/>
          <w:szCs w:val="22"/>
        </w:rPr>
        <w:t>calculated based on daily holdings. When a distributor’s holdings are clearly identifiable and are maintained separately on the Transfer Agency system, Rebate calculations can be calculated based on the value of their holdings at the end of each business day giving a very accurate calculation of amounts due.</w:t>
      </w:r>
    </w:p>
    <w:p w14:paraId="0EADE4AE" w14:textId="77777777" w:rsidR="008A4BD3" w:rsidRDefault="008A4BD3" w:rsidP="0023281C">
      <w:pPr>
        <w:rPr>
          <w:rFonts w:ascii="Arial" w:hAnsi="Arial" w:cs="Arial"/>
          <w:sz w:val="22"/>
          <w:szCs w:val="22"/>
        </w:rPr>
      </w:pPr>
    </w:p>
    <w:p w14:paraId="402A9B96" w14:textId="77777777" w:rsidR="0023281C" w:rsidRPr="009C6F74" w:rsidRDefault="00A02A0B" w:rsidP="0023281C">
      <w:pPr>
        <w:rPr>
          <w:rFonts w:ascii="Arial" w:hAnsi="Arial" w:cs="Arial"/>
          <w:sz w:val="22"/>
          <w:szCs w:val="22"/>
        </w:rPr>
      </w:pPr>
      <w:r w:rsidRPr="00103B80">
        <w:rPr>
          <w:rFonts w:ascii="Arial" w:hAnsi="Arial" w:cs="Arial"/>
          <w:sz w:val="22"/>
          <w:szCs w:val="22"/>
          <w:u w:val="single"/>
        </w:rPr>
        <w:t xml:space="preserve">Standard </w:t>
      </w:r>
      <w:r w:rsidR="0023281C" w:rsidRPr="00103B80">
        <w:rPr>
          <w:rFonts w:ascii="Arial" w:hAnsi="Arial" w:cs="Arial"/>
          <w:sz w:val="22"/>
          <w:szCs w:val="22"/>
          <w:u w:val="single"/>
        </w:rPr>
        <w:t>Rebate calculation</w:t>
      </w:r>
      <w:r w:rsidRPr="00103B80">
        <w:rPr>
          <w:rFonts w:ascii="Arial" w:hAnsi="Arial" w:cs="Arial"/>
          <w:sz w:val="22"/>
          <w:szCs w:val="22"/>
          <w:u w:val="single"/>
        </w:rPr>
        <w:t>s</w:t>
      </w:r>
      <w:r>
        <w:rPr>
          <w:rFonts w:ascii="Arial" w:hAnsi="Arial" w:cs="Arial"/>
          <w:sz w:val="22"/>
          <w:szCs w:val="22"/>
        </w:rPr>
        <w:t xml:space="preserve"> </w:t>
      </w:r>
      <w:r w:rsidR="0023281C">
        <w:rPr>
          <w:rFonts w:ascii="Arial" w:hAnsi="Arial" w:cs="Arial"/>
          <w:sz w:val="22"/>
          <w:szCs w:val="22"/>
        </w:rPr>
        <w:t xml:space="preserve">are </w:t>
      </w:r>
      <w:r w:rsidR="0081371E">
        <w:rPr>
          <w:rFonts w:ascii="Arial" w:hAnsi="Arial" w:cs="Arial"/>
          <w:sz w:val="22"/>
          <w:szCs w:val="22"/>
        </w:rPr>
        <w:t xml:space="preserve">therefore </w:t>
      </w:r>
      <w:r w:rsidR="0023281C">
        <w:rPr>
          <w:rFonts w:ascii="Arial" w:hAnsi="Arial" w:cs="Arial"/>
          <w:sz w:val="22"/>
          <w:szCs w:val="22"/>
        </w:rPr>
        <w:t xml:space="preserve">generally </w:t>
      </w:r>
      <w:r w:rsidR="0023281C" w:rsidRPr="009C6F74">
        <w:rPr>
          <w:rFonts w:ascii="Arial" w:hAnsi="Arial" w:cs="Arial"/>
          <w:sz w:val="22"/>
          <w:szCs w:val="22"/>
        </w:rPr>
        <w:t>as follows</w:t>
      </w:r>
      <w:r w:rsidR="0023281C">
        <w:rPr>
          <w:rFonts w:ascii="Arial" w:hAnsi="Arial" w:cs="Arial"/>
          <w:sz w:val="22"/>
          <w:szCs w:val="22"/>
        </w:rPr>
        <w:t>:</w:t>
      </w:r>
    </w:p>
    <w:p w14:paraId="3D9FA20F" w14:textId="77777777" w:rsidR="0023281C" w:rsidRPr="009C6F74" w:rsidRDefault="0023281C" w:rsidP="0023281C">
      <w:pPr>
        <w:rPr>
          <w:rFonts w:ascii="Arial" w:hAnsi="Arial" w:cs="Arial"/>
          <w:sz w:val="22"/>
          <w:szCs w:val="22"/>
        </w:rPr>
      </w:pPr>
    </w:p>
    <w:p w14:paraId="3018E7C0" w14:textId="77777777" w:rsidR="0023281C" w:rsidRPr="009C6F74" w:rsidRDefault="0023281C" w:rsidP="0023281C">
      <w:pPr>
        <w:numPr>
          <w:ilvl w:val="0"/>
          <w:numId w:val="14"/>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w:t>
      </w:r>
      <w:r w:rsidRPr="009C6F74">
        <w:rPr>
          <w:rFonts w:ascii="Arial" w:hAnsi="Arial" w:cs="Arial"/>
          <w:sz w:val="22"/>
          <w:szCs w:val="22"/>
        </w:rPr>
        <w:t xml:space="preserve"> of the Annual Management Fee </w:t>
      </w:r>
      <w:r>
        <w:rPr>
          <w:rFonts w:ascii="Arial" w:hAnsi="Arial" w:cs="Arial"/>
          <w:sz w:val="22"/>
          <w:szCs w:val="22"/>
        </w:rPr>
        <w:t>basis</w:t>
      </w:r>
    </w:p>
    <w:p w14:paraId="467F8379" w14:textId="77777777" w:rsidR="0023281C" w:rsidRPr="009C6F74" w:rsidRDefault="0023281C" w:rsidP="0023281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4E380D1" w14:textId="77777777" w:rsidR="0023281C" w:rsidRPr="009C6F74" w:rsidRDefault="00E43CBD" w:rsidP="0023281C">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Daily rebate</w:t>
      </w:r>
      <w:r w:rsidR="0023281C" w:rsidRPr="009C6F74">
        <w:rPr>
          <w:rFonts w:ascii="Arial" w:hAnsi="Arial" w:cs="Arial"/>
          <w:b/>
          <w:sz w:val="22"/>
          <w:szCs w:val="22"/>
        </w:rPr>
        <w:t xml:space="preserve"> = </w:t>
      </w:r>
      <w:r w:rsidR="0023281C">
        <w:rPr>
          <w:rFonts w:ascii="Arial" w:hAnsi="Arial" w:cs="Arial"/>
          <w:b/>
          <w:sz w:val="22"/>
          <w:szCs w:val="22"/>
        </w:rPr>
        <w:t>Fee R</w:t>
      </w:r>
      <w:r w:rsidR="0023281C" w:rsidRPr="009C6F74">
        <w:rPr>
          <w:rFonts w:ascii="Arial" w:hAnsi="Arial" w:cs="Arial"/>
          <w:b/>
          <w:sz w:val="22"/>
          <w:szCs w:val="22"/>
        </w:rPr>
        <w:t xml:space="preserve">ate (%) x </w:t>
      </w:r>
      <w:r w:rsidR="0023281C">
        <w:rPr>
          <w:rFonts w:ascii="Arial" w:hAnsi="Arial" w:cs="Arial"/>
          <w:b/>
          <w:sz w:val="22"/>
          <w:szCs w:val="22"/>
        </w:rPr>
        <w:t>M</w:t>
      </w:r>
      <w:r w:rsidR="0023281C" w:rsidRPr="009C6F74">
        <w:rPr>
          <w:rFonts w:ascii="Arial" w:hAnsi="Arial" w:cs="Arial"/>
          <w:b/>
          <w:sz w:val="22"/>
          <w:szCs w:val="22"/>
        </w:rPr>
        <w:t>anagement fee rate x daily</w:t>
      </w:r>
      <w:r w:rsidR="0023281C">
        <w:rPr>
          <w:rFonts w:ascii="Arial" w:hAnsi="Arial" w:cs="Arial"/>
          <w:b/>
          <w:sz w:val="22"/>
          <w:szCs w:val="22"/>
        </w:rPr>
        <w:t xml:space="preserve"> h</w:t>
      </w:r>
      <w:r w:rsidR="0023281C" w:rsidRPr="009C6F74">
        <w:rPr>
          <w:rFonts w:ascii="Arial" w:hAnsi="Arial" w:cs="Arial"/>
          <w:b/>
          <w:sz w:val="22"/>
          <w:szCs w:val="22"/>
        </w:rPr>
        <w:t xml:space="preserve">olding </w:t>
      </w:r>
      <w:r w:rsidR="0023281C">
        <w:rPr>
          <w:rFonts w:ascii="Arial" w:hAnsi="Arial" w:cs="Arial"/>
          <w:b/>
          <w:sz w:val="22"/>
          <w:szCs w:val="22"/>
        </w:rPr>
        <w:t xml:space="preserve">value in payment currency / number of days in the year </w:t>
      </w:r>
    </w:p>
    <w:p w14:paraId="46D18CD2" w14:textId="77777777" w:rsidR="0023281C" w:rsidRPr="009C6F74" w:rsidRDefault="0023281C" w:rsidP="0023281C">
      <w:pPr>
        <w:rPr>
          <w:rFonts w:ascii="Arial" w:hAnsi="Arial" w:cs="Arial"/>
          <w:sz w:val="22"/>
          <w:szCs w:val="22"/>
        </w:rPr>
      </w:pPr>
    </w:p>
    <w:p w14:paraId="70142549" w14:textId="77777777" w:rsidR="0023281C" w:rsidRPr="009C6F74" w:rsidRDefault="0023281C" w:rsidP="0023281C">
      <w:pPr>
        <w:pBdr>
          <w:top w:val="single" w:sz="4" w:space="1" w:color="auto"/>
          <w:left w:val="single" w:sz="4" w:space="4" w:color="auto"/>
          <w:bottom w:val="single" w:sz="4" w:space="1" w:color="auto"/>
          <w:right w:val="single" w:sz="4" w:space="4" w:color="auto"/>
        </w:pBdr>
        <w:ind w:left="426" w:hanging="426"/>
        <w:rPr>
          <w:rFonts w:ascii="Arial" w:hAnsi="Arial" w:cs="Arial"/>
          <w:sz w:val="22"/>
          <w:szCs w:val="22"/>
        </w:rPr>
      </w:pPr>
      <w:r w:rsidRPr="009C6F74">
        <w:rPr>
          <w:rFonts w:ascii="Arial" w:hAnsi="Arial" w:cs="Arial"/>
          <w:sz w:val="22"/>
          <w:szCs w:val="22"/>
        </w:rPr>
        <w:t>2.</w:t>
      </w:r>
      <w:r w:rsidRPr="009C6F74">
        <w:rPr>
          <w:rFonts w:ascii="Arial" w:hAnsi="Arial" w:cs="Arial"/>
          <w:sz w:val="22"/>
          <w:szCs w:val="22"/>
        </w:rPr>
        <w:tab/>
      </w:r>
      <w:r>
        <w:rPr>
          <w:rFonts w:ascii="Arial" w:hAnsi="Arial" w:cs="Arial"/>
          <w:sz w:val="22"/>
          <w:szCs w:val="22"/>
        </w:rPr>
        <w:t>%</w:t>
      </w:r>
      <w:r w:rsidRPr="009C6F74">
        <w:rPr>
          <w:rFonts w:ascii="Arial" w:hAnsi="Arial" w:cs="Arial"/>
          <w:sz w:val="22"/>
          <w:szCs w:val="22"/>
        </w:rPr>
        <w:t xml:space="preserve"> of the </w:t>
      </w:r>
      <w:r>
        <w:rPr>
          <w:rFonts w:ascii="Arial" w:hAnsi="Arial" w:cs="Arial"/>
          <w:sz w:val="22"/>
          <w:szCs w:val="22"/>
        </w:rPr>
        <w:t>Distributor’s</w:t>
      </w:r>
      <w:r w:rsidRPr="009C6F74">
        <w:rPr>
          <w:rFonts w:ascii="Arial" w:hAnsi="Arial" w:cs="Arial"/>
          <w:sz w:val="22"/>
          <w:szCs w:val="22"/>
        </w:rPr>
        <w:t xml:space="preserve"> holdings </w:t>
      </w:r>
      <w:r>
        <w:rPr>
          <w:rFonts w:ascii="Arial" w:hAnsi="Arial" w:cs="Arial"/>
          <w:sz w:val="22"/>
          <w:szCs w:val="22"/>
        </w:rPr>
        <w:t>basis</w:t>
      </w:r>
    </w:p>
    <w:p w14:paraId="4FE748EC" w14:textId="77777777" w:rsidR="0023281C" w:rsidRPr="009C6F74" w:rsidRDefault="0023281C" w:rsidP="0023281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6E552AF" w14:textId="77777777" w:rsidR="0023281C" w:rsidRPr="009C6F74" w:rsidRDefault="00E43CBD" w:rsidP="0023281C">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b/>
          <w:sz w:val="22"/>
          <w:szCs w:val="22"/>
        </w:rPr>
        <w:t>Daily rebate</w:t>
      </w:r>
      <w:r w:rsidRPr="009C6F74">
        <w:rPr>
          <w:rFonts w:ascii="Arial" w:hAnsi="Arial" w:cs="Arial"/>
          <w:b/>
          <w:sz w:val="22"/>
          <w:szCs w:val="22"/>
        </w:rPr>
        <w:t xml:space="preserve"> </w:t>
      </w:r>
      <w:r w:rsidR="0023281C" w:rsidRPr="009C6F74">
        <w:rPr>
          <w:rFonts w:ascii="Arial" w:hAnsi="Arial" w:cs="Arial"/>
          <w:b/>
          <w:sz w:val="22"/>
          <w:szCs w:val="22"/>
        </w:rPr>
        <w:t xml:space="preserve">= </w:t>
      </w:r>
      <w:r w:rsidR="0023281C">
        <w:rPr>
          <w:rFonts w:ascii="Arial" w:hAnsi="Arial" w:cs="Arial"/>
          <w:b/>
          <w:sz w:val="22"/>
          <w:szCs w:val="22"/>
        </w:rPr>
        <w:t>Fee R</w:t>
      </w:r>
      <w:r w:rsidR="0023281C" w:rsidRPr="009C6F74">
        <w:rPr>
          <w:rFonts w:ascii="Arial" w:hAnsi="Arial" w:cs="Arial"/>
          <w:b/>
          <w:sz w:val="22"/>
          <w:szCs w:val="22"/>
        </w:rPr>
        <w:t>ate (bps) x daily</w:t>
      </w:r>
      <w:r w:rsidR="0023281C">
        <w:rPr>
          <w:rFonts w:ascii="Arial" w:hAnsi="Arial" w:cs="Arial"/>
          <w:b/>
          <w:sz w:val="22"/>
          <w:szCs w:val="22"/>
        </w:rPr>
        <w:t xml:space="preserve"> </w:t>
      </w:r>
      <w:r w:rsidR="0023281C" w:rsidRPr="009C6F74">
        <w:rPr>
          <w:rFonts w:ascii="Arial" w:hAnsi="Arial" w:cs="Arial"/>
          <w:b/>
          <w:sz w:val="22"/>
          <w:szCs w:val="22"/>
        </w:rPr>
        <w:t xml:space="preserve">holding value in payment currency / </w:t>
      </w:r>
      <w:r w:rsidR="0023281C">
        <w:rPr>
          <w:rFonts w:ascii="Arial" w:hAnsi="Arial" w:cs="Arial"/>
          <w:b/>
          <w:sz w:val="22"/>
          <w:szCs w:val="22"/>
        </w:rPr>
        <w:t xml:space="preserve">number of days in the year </w:t>
      </w:r>
    </w:p>
    <w:p w14:paraId="56A1F251" w14:textId="77777777" w:rsidR="0023281C" w:rsidRDefault="0023281C" w:rsidP="0023281C">
      <w:pPr>
        <w:rPr>
          <w:rFonts w:ascii="Arial" w:hAnsi="Arial" w:cs="Arial"/>
          <w:sz w:val="22"/>
          <w:szCs w:val="22"/>
        </w:rPr>
      </w:pPr>
    </w:p>
    <w:p w14:paraId="1DD9F940" w14:textId="77777777" w:rsidR="0023281C" w:rsidRDefault="0023281C" w:rsidP="0023281C">
      <w:pPr>
        <w:rPr>
          <w:rFonts w:ascii="Arial" w:hAnsi="Arial" w:cs="Arial"/>
          <w:sz w:val="22"/>
          <w:szCs w:val="22"/>
        </w:rPr>
      </w:pPr>
    </w:p>
    <w:p w14:paraId="4E3BCE56" w14:textId="77777777" w:rsidR="0023281C" w:rsidRPr="00103B80" w:rsidRDefault="0023281C" w:rsidP="0023281C">
      <w:pPr>
        <w:rPr>
          <w:rFonts w:ascii="Arial" w:hAnsi="Arial" w:cs="Arial"/>
          <w:sz w:val="22"/>
          <w:szCs w:val="22"/>
          <w:u w:val="single"/>
        </w:rPr>
      </w:pPr>
      <w:r w:rsidRPr="00103B80">
        <w:rPr>
          <w:rFonts w:ascii="Arial" w:hAnsi="Arial" w:cs="Arial"/>
          <w:sz w:val="22"/>
          <w:szCs w:val="22"/>
          <w:u w:val="single"/>
        </w:rPr>
        <w:t>Note:</w:t>
      </w:r>
    </w:p>
    <w:p w14:paraId="67679B06" w14:textId="77777777" w:rsidR="0023281C" w:rsidRPr="009C6F74" w:rsidRDefault="0023281C" w:rsidP="0023281C">
      <w:pPr>
        <w:rPr>
          <w:rFonts w:ascii="Arial" w:hAnsi="Arial" w:cs="Arial"/>
          <w:sz w:val="22"/>
          <w:szCs w:val="22"/>
        </w:rPr>
      </w:pPr>
      <w:r>
        <w:rPr>
          <w:rFonts w:ascii="Arial" w:hAnsi="Arial" w:cs="Arial"/>
          <w:sz w:val="22"/>
          <w:szCs w:val="22"/>
        </w:rPr>
        <w:t>Daily h</w:t>
      </w:r>
      <w:r w:rsidRPr="009C6F74">
        <w:rPr>
          <w:rFonts w:ascii="Arial" w:hAnsi="Arial" w:cs="Arial"/>
          <w:sz w:val="22"/>
          <w:szCs w:val="22"/>
        </w:rPr>
        <w:t xml:space="preserve">olding value in payment currency = daily </w:t>
      </w:r>
      <w:r>
        <w:rPr>
          <w:rFonts w:ascii="Arial" w:hAnsi="Arial" w:cs="Arial"/>
          <w:sz w:val="22"/>
          <w:szCs w:val="22"/>
        </w:rPr>
        <w:t xml:space="preserve">position of </w:t>
      </w:r>
      <w:r w:rsidRPr="009C6F74">
        <w:rPr>
          <w:rFonts w:ascii="Arial" w:hAnsi="Arial" w:cs="Arial"/>
          <w:sz w:val="22"/>
          <w:szCs w:val="22"/>
        </w:rPr>
        <w:t>shares held in the fund x daily price x daily exchange rate</w:t>
      </w:r>
      <w:r w:rsidR="008F3E01">
        <w:rPr>
          <w:rFonts w:ascii="Arial" w:hAnsi="Arial" w:cs="Arial"/>
          <w:sz w:val="22"/>
          <w:szCs w:val="22"/>
        </w:rPr>
        <w:t xml:space="preserve"> (if applicable)</w:t>
      </w:r>
    </w:p>
    <w:p w14:paraId="0CB31098" w14:textId="77777777" w:rsidR="0023281C" w:rsidRPr="009C6F74" w:rsidRDefault="008A4BD3" w:rsidP="0023281C">
      <w:pPr>
        <w:rPr>
          <w:rFonts w:ascii="Arial" w:hAnsi="Arial" w:cs="Arial"/>
          <w:sz w:val="22"/>
          <w:szCs w:val="22"/>
        </w:rPr>
      </w:pPr>
      <w:r>
        <w:rPr>
          <w:rFonts w:ascii="Arial" w:hAnsi="Arial" w:cs="Arial"/>
          <w:sz w:val="22"/>
          <w:szCs w:val="22"/>
        </w:rPr>
        <w:br w:type="page"/>
      </w:r>
    </w:p>
    <w:p w14:paraId="4C9061C6" w14:textId="77777777" w:rsidR="0023281C" w:rsidRDefault="0023281C" w:rsidP="0023281C">
      <w:pPr>
        <w:rPr>
          <w:rFonts w:ascii="Arial" w:hAnsi="Arial" w:cs="Arial"/>
          <w:sz w:val="22"/>
          <w:szCs w:val="22"/>
        </w:rPr>
      </w:pPr>
      <w:r>
        <w:rPr>
          <w:rFonts w:ascii="Arial" w:hAnsi="Arial" w:cs="Arial"/>
          <w:sz w:val="22"/>
          <w:szCs w:val="22"/>
        </w:rPr>
        <w:lastRenderedPageBreak/>
        <w:t>Distributor holding positions are calculated incorporating the following</w:t>
      </w:r>
      <w:r w:rsidRPr="009C6F74">
        <w:rPr>
          <w:rFonts w:ascii="Arial" w:hAnsi="Arial" w:cs="Arial"/>
          <w:sz w:val="22"/>
          <w:szCs w:val="22"/>
        </w:rPr>
        <w:t>:</w:t>
      </w:r>
    </w:p>
    <w:p w14:paraId="5A03B881" w14:textId="77777777" w:rsidR="0023281C" w:rsidRPr="009C6F74" w:rsidRDefault="0023281C" w:rsidP="0023281C">
      <w:pPr>
        <w:rPr>
          <w:rFonts w:ascii="Arial" w:hAnsi="Arial" w:cs="Arial"/>
          <w:sz w:val="22"/>
          <w:szCs w:val="22"/>
        </w:rPr>
      </w:pPr>
    </w:p>
    <w:p w14:paraId="6FE03F87" w14:textId="22E0D431" w:rsidR="0023281C" w:rsidRPr="006A3CA4" w:rsidRDefault="00AB6C6A" w:rsidP="0023281C">
      <w:pPr>
        <w:pStyle w:val="Style2"/>
        <w:numPr>
          <w:ilvl w:val="0"/>
          <w:numId w:val="15"/>
        </w:numPr>
        <w:rPr>
          <w:u w:val="none"/>
        </w:rPr>
      </w:pPr>
      <w:r>
        <w:rPr>
          <w:u w:val="none"/>
        </w:rPr>
        <w:t>Subscriptions, r</w:t>
      </w:r>
      <w:r w:rsidR="0023281C" w:rsidRPr="006A3CA4">
        <w:rPr>
          <w:u w:val="none"/>
        </w:rPr>
        <w:t>edemptions and switches are booked on the day of the trade</w:t>
      </w:r>
    </w:p>
    <w:p w14:paraId="47D0530D" w14:textId="77777777" w:rsidR="00A02A0B" w:rsidRPr="00357701" w:rsidRDefault="00A02A0B" w:rsidP="0023281C">
      <w:pPr>
        <w:rPr>
          <w:rFonts w:ascii="Arial" w:hAnsi="Arial" w:cs="Arial"/>
          <w:sz w:val="22"/>
          <w:szCs w:val="22"/>
        </w:rPr>
      </w:pPr>
    </w:p>
    <w:p w14:paraId="40F5B237" w14:textId="77777777" w:rsidR="003441BE" w:rsidRDefault="00A02A0B" w:rsidP="003441BE">
      <w:pPr>
        <w:rPr>
          <w:rFonts w:ascii="Arial" w:hAnsi="Arial" w:cs="Arial"/>
          <w:sz w:val="22"/>
          <w:szCs w:val="22"/>
        </w:rPr>
      </w:pPr>
      <w:r>
        <w:rPr>
          <w:rFonts w:ascii="Arial" w:hAnsi="Arial" w:cs="Arial"/>
          <w:sz w:val="22"/>
          <w:szCs w:val="22"/>
        </w:rPr>
        <w:t>Exceptionally, where identification of the individual distributor holdings positions on a daily basis is not feasible (e.g. bulk deals placed via a depositary or clearing agent), the Rebates calculation per distributor will be based on their month-end holding valuation.</w:t>
      </w:r>
      <w:r w:rsidRPr="009C6F74">
        <w:rPr>
          <w:rFonts w:ascii="Arial" w:hAnsi="Arial" w:cs="Arial"/>
          <w:sz w:val="22"/>
          <w:szCs w:val="22"/>
        </w:rPr>
        <w:t xml:space="preserve">  </w:t>
      </w:r>
      <w:r w:rsidR="00C24F06">
        <w:rPr>
          <w:rFonts w:ascii="Arial" w:hAnsi="Arial" w:cs="Arial"/>
          <w:sz w:val="22"/>
          <w:szCs w:val="22"/>
        </w:rPr>
        <w:t>In this case, t</w:t>
      </w:r>
      <w:r w:rsidR="003441BE">
        <w:rPr>
          <w:rFonts w:ascii="Arial" w:hAnsi="Arial" w:cs="Arial"/>
          <w:sz w:val="22"/>
          <w:szCs w:val="22"/>
        </w:rPr>
        <w:t xml:space="preserve">he confirmation of the positions </w:t>
      </w:r>
      <w:r w:rsidR="00C24F06">
        <w:rPr>
          <w:rFonts w:ascii="Arial" w:hAnsi="Arial" w:cs="Arial"/>
          <w:sz w:val="22"/>
          <w:szCs w:val="22"/>
        </w:rPr>
        <w:t>will be required from the distributor at each quarter-end.  The holding confirmation</w:t>
      </w:r>
      <w:r w:rsidR="003441BE">
        <w:rPr>
          <w:rFonts w:ascii="Arial" w:hAnsi="Arial" w:cs="Arial"/>
          <w:sz w:val="22"/>
          <w:szCs w:val="22"/>
        </w:rPr>
        <w:t xml:space="preserve"> is required in Excel in order to facilitate the calculation process and by signed copy (post, fax</w:t>
      </w:r>
      <w:r w:rsidR="00641FF8">
        <w:rPr>
          <w:rFonts w:ascii="Arial" w:hAnsi="Arial" w:cs="Arial"/>
          <w:sz w:val="22"/>
          <w:szCs w:val="22"/>
        </w:rPr>
        <w:t>, pdf scan</w:t>
      </w:r>
      <w:r w:rsidR="003441BE">
        <w:rPr>
          <w:rFonts w:ascii="Arial" w:hAnsi="Arial" w:cs="Arial"/>
          <w:sz w:val="22"/>
          <w:szCs w:val="22"/>
        </w:rPr>
        <w:t>) for audit purpose</w:t>
      </w:r>
      <w:r w:rsidR="008F3E01">
        <w:rPr>
          <w:rFonts w:ascii="Arial" w:hAnsi="Arial" w:cs="Arial"/>
          <w:sz w:val="22"/>
          <w:szCs w:val="22"/>
        </w:rPr>
        <w:t>s</w:t>
      </w:r>
      <w:r w:rsidR="003441BE">
        <w:rPr>
          <w:rFonts w:ascii="Arial" w:hAnsi="Arial" w:cs="Arial"/>
          <w:sz w:val="22"/>
          <w:szCs w:val="22"/>
        </w:rPr>
        <w:t>.</w:t>
      </w:r>
    </w:p>
    <w:p w14:paraId="2CC2B84E" w14:textId="77777777" w:rsidR="00A02A0B" w:rsidRDefault="00A02A0B" w:rsidP="00A02A0B">
      <w:pPr>
        <w:rPr>
          <w:rFonts w:ascii="Arial" w:hAnsi="Arial" w:cs="Arial"/>
          <w:sz w:val="22"/>
          <w:szCs w:val="22"/>
        </w:rPr>
      </w:pPr>
    </w:p>
    <w:p w14:paraId="45255763" w14:textId="77777777" w:rsidR="00A02A0B" w:rsidRPr="0081371E" w:rsidRDefault="00A02A0B" w:rsidP="00A02A0B">
      <w:pPr>
        <w:rPr>
          <w:rFonts w:ascii="Arial" w:hAnsi="Arial" w:cs="Arial"/>
          <w:b/>
          <w:sz w:val="22"/>
          <w:szCs w:val="22"/>
        </w:rPr>
      </w:pPr>
      <w:r w:rsidRPr="00A0625D">
        <w:rPr>
          <w:rFonts w:ascii="Arial" w:hAnsi="Arial" w:cs="Arial"/>
          <w:sz w:val="22"/>
          <w:szCs w:val="22"/>
          <w:u w:val="single"/>
        </w:rPr>
        <w:t xml:space="preserve">Month-end </w:t>
      </w:r>
      <w:r w:rsidR="0081371E" w:rsidRPr="00A0625D">
        <w:rPr>
          <w:rFonts w:ascii="Arial" w:hAnsi="Arial" w:cs="Arial"/>
          <w:sz w:val="22"/>
          <w:szCs w:val="22"/>
          <w:u w:val="single"/>
        </w:rPr>
        <w:t xml:space="preserve">Rebate </w:t>
      </w:r>
      <w:r w:rsidRPr="00A0625D">
        <w:rPr>
          <w:rFonts w:ascii="Arial" w:hAnsi="Arial" w:cs="Arial"/>
          <w:sz w:val="22"/>
          <w:szCs w:val="22"/>
          <w:u w:val="single"/>
        </w:rPr>
        <w:t>calculations</w:t>
      </w:r>
      <w:r w:rsidR="0081371E">
        <w:rPr>
          <w:rFonts w:ascii="Arial" w:hAnsi="Arial" w:cs="Arial"/>
          <w:b/>
          <w:sz w:val="22"/>
          <w:szCs w:val="22"/>
        </w:rPr>
        <w:t xml:space="preserve"> </w:t>
      </w:r>
      <w:r w:rsidR="0081371E" w:rsidRPr="0081371E">
        <w:rPr>
          <w:rFonts w:ascii="Arial" w:hAnsi="Arial" w:cs="Arial"/>
          <w:sz w:val="22"/>
          <w:szCs w:val="22"/>
        </w:rPr>
        <w:t>are generally as follows:</w:t>
      </w:r>
      <w:r w:rsidRPr="0081371E">
        <w:rPr>
          <w:rFonts w:ascii="Arial" w:hAnsi="Arial" w:cs="Arial"/>
          <w:b/>
          <w:sz w:val="22"/>
          <w:szCs w:val="22"/>
        </w:rPr>
        <w:t xml:space="preserve"> </w:t>
      </w:r>
    </w:p>
    <w:p w14:paraId="44963CA4" w14:textId="77777777" w:rsidR="00A02A0B" w:rsidRDefault="00A02A0B" w:rsidP="00A02A0B">
      <w:pPr>
        <w:rPr>
          <w:rFonts w:ascii="Arial" w:hAnsi="Arial" w:cs="Arial"/>
          <w:sz w:val="22"/>
          <w:szCs w:val="22"/>
        </w:rPr>
      </w:pPr>
    </w:p>
    <w:p w14:paraId="52A14AF3" w14:textId="77777777" w:rsidR="00F2528C" w:rsidRPr="009C6F74" w:rsidRDefault="00A02A0B" w:rsidP="00F2528C">
      <w:pPr>
        <w:pBdr>
          <w:top w:val="single" w:sz="4" w:space="1" w:color="auto"/>
          <w:left w:val="single" w:sz="4" w:space="4" w:color="auto"/>
          <w:bottom w:val="single" w:sz="4" w:space="1" w:color="auto"/>
          <w:right w:val="single" w:sz="4" w:space="4" w:color="auto"/>
        </w:pBdr>
        <w:rPr>
          <w:rFonts w:ascii="Arial" w:hAnsi="Arial" w:cs="Arial"/>
          <w:sz w:val="22"/>
          <w:szCs w:val="22"/>
        </w:rPr>
      </w:pPr>
      <w:r w:rsidRPr="009C6F74">
        <w:rPr>
          <w:rFonts w:ascii="Arial" w:hAnsi="Arial" w:cs="Arial"/>
          <w:sz w:val="22"/>
          <w:szCs w:val="22"/>
        </w:rPr>
        <w:t>1.</w:t>
      </w:r>
      <w:r w:rsidRPr="009C6F74">
        <w:rPr>
          <w:rFonts w:ascii="Arial" w:hAnsi="Arial" w:cs="Arial"/>
          <w:sz w:val="22"/>
          <w:szCs w:val="22"/>
        </w:rPr>
        <w:tab/>
      </w:r>
      <w:r w:rsidR="00F2528C">
        <w:rPr>
          <w:rFonts w:ascii="Arial" w:hAnsi="Arial" w:cs="Arial"/>
          <w:sz w:val="22"/>
          <w:szCs w:val="22"/>
        </w:rPr>
        <w:t>%</w:t>
      </w:r>
      <w:r w:rsidR="00F2528C" w:rsidRPr="009C6F74">
        <w:rPr>
          <w:rFonts w:ascii="Arial" w:hAnsi="Arial" w:cs="Arial"/>
          <w:sz w:val="22"/>
          <w:szCs w:val="22"/>
        </w:rPr>
        <w:t xml:space="preserve"> of the Annual Management Fee </w:t>
      </w:r>
      <w:r w:rsidR="00F2528C">
        <w:rPr>
          <w:rFonts w:ascii="Arial" w:hAnsi="Arial" w:cs="Arial"/>
          <w:sz w:val="22"/>
          <w:szCs w:val="22"/>
        </w:rPr>
        <w:t>basis</w:t>
      </w:r>
    </w:p>
    <w:p w14:paraId="10C53149" w14:textId="77777777" w:rsidR="00A02A0B" w:rsidRPr="009C6F74" w:rsidRDefault="00A02A0B" w:rsidP="005B050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8006B4C" w14:textId="77777777" w:rsidR="00A02A0B" w:rsidRPr="009C6F74" w:rsidRDefault="00A02A0B" w:rsidP="005B050F">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Month</w:t>
      </w:r>
      <w:r w:rsidRPr="009C6F74">
        <w:rPr>
          <w:rFonts w:ascii="Arial" w:hAnsi="Arial" w:cs="Arial"/>
          <w:b/>
          <w:sz w:val="22"/>
          <w:szCs w:val="22"/>
        </w:rPr>
        <w:t xml:space="preserve">ly rebate = Rebate rate (%) x management fee rate x </w:t>
      </w:r>
      <w:r>
        <w:rPr>
          <w:rFonts w:ascii="Arial" w:hAnsi="Arial" w:cs="Arial"/>
          <w:b/>
          <w:sz w:val="22"/>
          <w:szCs w:val="22"/>
        </w:rPr>
        <w:t>month-end</w:t>
      </w:r>
      <w:r w:rsidRPr="009C6F74">
        <w:rPr>
          <w:rFonts w:ascii="Arial" w:hAnsi="Arial" w:cs="Arial"/>
          <w:b/>
          <w:sz w:val="22"/>
          <w:szCs w:val="22"/>
        </w:rPr>
        <w:t xml:space="preserve"> holding value</w:t>
      </w:r>
      <w:r>
        <w:rPr>
          <w:rFonts w:ascii="Arial" w:hAnsi="Arial" w:cs="Arial"/>
          <w:b/>
          <w:sz w:val="22"/>
          <w:szCs w:val="22"/>
        </w:rPr>
        <w:t xml:space="preserve"> in payment currency</w:t>
      </w:r>
      <w:r w:rsidR="00F33C0C">
        <w:rPr>
          <w:rFonts w:ascii="Arial" w:hAnsi="Arial" w:cs="Arial"/>
          <w:b/>
          <w:sz w:val="22"/>
          <w:szCs w:val="22"/>
        </w:rPr>
        <w:t xml:space="preserve"> </w:t>
      </w:r>
      <w:r>
        <w:rPr>
          <w:rFonts w:ascii="Arial" w:hAnsi="Arial" w:cs="Arial"/>
          <w:b/>
          <w:sz w:val="22"/>
          <w:szCs w:val="22"/>
        </w:rPr>
        <w:t>/</w:t>
      </w:r>
      <w:r w:rsidR="00F33C0C">
        <w:rPr>
          <w:rFonts w:ascii="Arial" w:hAnsi="Arial" w:cs="Arial"/>
          <w:b/>
          <w:sz w:val="22"/>
          <w:szCs w:val="22"/>
        </w:rPr>
        <w:t xml:space="preserve"> </w:t>
      </w:r>
      <w:r>
        <w:rPr>
          <w:rFonts w:ascii="Arial" w:hAnsi="Arial" w:cs="Arial"/>
          <w:b/>
          <w:sz w:val="22"/>
          <w:szCs w:val="22"/>
        </w:rPr>
        <w:t>12</w:t>
      </w:r>
    </w:p>
    <w:p w14:paraId="43214223" w14:textId="77777777" w:rsidR="00A02A0B" w:rsidRPr="009C6F74" w:rsidRDefault="00A02A0B" w:rsidP="00A02A0B">
      <w:pPr>
        <w:rPr>
          <w:rFonts w:ascii="Arial" w:hAnsi="Arial" w:cs="Arial"/>
          <w:sz w:val="22"/>
          <w:szCs w:val="22"/>
        </w:rPr>
      </w:pPr>
    </w:p>
    <w:p w14:paraId="6DF3188C" w14:textId="77777777" w:rsidR="00A02A0B" w:rsidRPr="009C6F74" w:rsidRDefault="00A02A0B" w:rsidP="005B050F">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r w:rsidRPr="009C6F74">
        <w:rPr>
          <w:rFonts w:ascii="Arial" w:hAnsi="Arial" w:cs="Arial"/>
          <w:sz w:val="22"/>
          <w:szCs w:val="22"/>
        </w:rPr>
        <w:t>2.</w:t>
      </w:r>
      <w:r w:rsidRPr="009C6F74">
        <w:rPr>
          <w:rFonts w:ascii="Arial" w:hAnsi="Arial" w:cs="Arial"/>
          <w:sz w:val="22"/>
          <w:szCs w:val="22"/>
        </w:rPr>
        <w:tab/>
      </w:r>
      <w:r w:rsidR="00F2528C">
        <w:rPr>
          <w:rFonts w:ascii="Arial" w:hAnsi="Arial" w:cs="Arial"/>
          <w:sz w:val="22"/>
          <w:szCs w:val="22"/>
        </w:rPr>
        <w:t>%</w:t>
      </w:r>
      <w:r w:rsidR="00F2528C" w:rsidRPr="009C6F74">
        <w:rPr>
          <w:rFonts w:ascii="Arial" w:hAnsi="Arial" w:cs="Arial"/>
          <w:sz w:val="22"/>
          <w:szCs w:val="22"/>
        </w:rPr>
        <w:t xml:space="preserve"> of the </w:t>
      </w:r>
      <w:r w:rsidR="00F2528C">
        <w:rPr>
          <w:rFonts w:ascii="Arial" w:hAnsi="Arial" w:cs="Arial"/>
          <w:sz w:val="22"/>
          <w:szCs w:val="22"/>
        </w:rPr>
        <w:t>Distributor’s</w:t>
      </w:r>
      <w:r w:rsidR="00F2528C" w:rsidRPr="009C6F74">
        <w:rPr>
          <w:rFonts w:ascii="Arial" w:hAnsi="Arial" w:cs="Arial"/>
          <w:sz w:val="22"/>
          <w:szCs w:val="22"/>
        </w:rPr>
        <w:t xml:space="preserve"> holdings </w:t>
      </w:r>
      <w:r w:rsidR="00F2528C">
        <w:rPr>
          <w:rFonts w:ascii="Arial" w:hAnsi="Arial" w:cs="Arial"/>
          <w:sz w:val="22"/>
          <w:szCs w:val="22"/>
        </w:rPr>
        <w:t>basis</w:t>
      </w:r>
    </w:p>
    <w:p w14:paraId="220198EA" w14:textId="77777777" w:rsidR="00A02A0B" w:rsidRPr="009C6F74" w:rsidRDefault="00A02A0B" w:rsidP="005B050F">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b/>
      </w:r>
    </w:p>
    <w:p w14:paraId="32540BC5" w14:textId="77777777" w:rsidR="00A02A0B" w:rsidRPr="009C6F74" w:rsidRDefault="00A02A0B" w:rsidP="005B050F">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Month</w:t>
      </w:r>
      <w:r w:rsidRPr="009C6F74">
        <w:rPr>
          <w:rFonts w:ascii="Arial" w:hAnsi="Arial" w:cs="Arial"/>
          <w:b/>
          <w:sz w:val="22"/>
          <w:szCs w:val="22"/>
        </w:rPr>
        <w:t xml:space="preserve">ly rebate = Rebate rate (bps) x </w:t>
      </w:r>
      <w:r w:rsidR="002F23F5">
        <w:rPr>
          <w:rFonts w:ascii="Arial" w:hAnsi="Arial" w:cs="Arial"/>
          <w:b/>
          <w:sz w:val="22"/>
          <w:szCs w:val="22"/>
        </w:rPr>
        <w:t>month-end</w:t>
      </w:r>
      <w:r w:rsidRPr="009C6F74">
        <w:rPr>
          <w:rFonts w:ascii="Arial" w:hAnsi="Arial" w:cs="Arial"/>
          <w:b/>
          <w:sz w:val="22"/>
          <w:szCs w:val="22"/>
        </w:rPr>
        <w:t xml:space="preserve"> value in payment currency</w:t>
      </w:r>
      <w:r w:rsidR="00F33C0C">
        <w:rPr>
          <w:rFonts w:ascii="Arial" w:hAnsi="Arial" w:cs="Arial"/>
          <w:b/>
          <w:sz w:val="22"/>
          <w:szCs w:val="22"/>
        </w:rPr>
        <w:t xml:space="preserve"> </w:t>
      </w:r>
      <w:r w:rsidRPr="009C6F74">
        <w:rPr>
          <w:rFonts w:ascii="Arial" w:hAnsi="Arial" w:cs="Arial"/>
          <w:b/>
          <w:sz w:val="22"/>
          <w:szCs w:val="22"/>
        </w:rPr>
        <w:t>/</w:t>
      </w:r>
      <w:r w:rsidR="00F33C0C">
        <w:rPr>
          <w:rFonts w:ascii="Arial" w:hAnsi="Arial" w:cs="Arial"/>
          <w:b/>
          <w:sz w:val="22"/>
          <w:szCs w:val="22"/>
        </w:rPr>
        <w:t xml:space="preserve"> </w:t>
      </w:r>
      <w:r>
        <w:rPr>
          <w:rFonts w:ascii="Arial" w:hAnsi="Arial" w:cs="Arial"/>
          <w:b/>
          <w:sz w:val="22"/>
          <w:szCs w:val="22"/>
        </w:rPr>
        <w:t>12</w:t>
      </w:r>
    </w:p>
    <w:p w14:paraId="5D545856" w14:textId="77777777" w:rsidR="00A02A0B" w:rsidRDefault="00A02A0B" w:rsidP="00A02A0B">
      <w:pPr>
        <w:rPr>
          <w:rFonts w:ascii="Arial" w:hAnsi="Arial" w:cs="Arial"/>
          <w:sz w:val="22"/>
          <w:szCs w:val="22"/>
        </w:rPr>
      </w:pPr>
    </w:p>
    <w:p w14:paraId="07CDB7EF" w14:textId="77777777" w:rsidR="008A4BD3" w:rsidRDefault="008A4BD3" w:rsidP="00A02A0B">
      <w:pPr>
        <w:rPr>
          <w:rFonts w:ascii="Arial" w:hAnsi="Arial" w:cs="Arial"/>
          <w:sz w:val="22"/>
          <w:szCs w:val="22"/>
        </w:rPr>
      </w:pPr>
    </w:p>
    <w:p w14:paraId="7A15F362" w14:textId="77777777" w:rsidR="001A0DAA" w:rsidRDefault="001A0DAA" w:rsidP="00A02A0B">
      <w:pPr>
        <w:rPr>
          <w:rFonts w:ascii="Arial" w:hAnsi="Arial" w:cs="Arial"/>
          <w:sz w:val="22"/>
          <w:szCs w:val="22"/>
        </w:rPr>
      </w:pPr>
    </w:p>
    <w:p w14:paraId="3726F335" w14:textId="77777777" w:rsidR="001A0DAA" w:rsidRPr="00A0625D" w:rsidRDefault="001A0DAA" w:rsidP="00A02A0B">
      <w:pPr>
        <w:rPr>
          <w:rFonts w:ascii="Arial" w:hAnsi="Arial" w:cs="Arial"/>
          <w:sz w:val="22"/>
          <w:szCs w:val="22"/>
          <w:u w:val="single"/>
        </w:rPr>
      </w:pPr>
      <w:r w:rsidRPr="00A0625D">
        <w:rPr>
          <w:rFonts w:ascii="Arial" w:hAnsi="Arial" w:cs="Arial"/>
          <w:sz w:val="22"/>
          <w:szCs w:val="22"/>
          <w:u w:val="single"/>
        </w:rPr>
        <w:t>Applicable rebate rates:</w:t>
      </w:r>
    </w:p>
    <w:p w14:paraId="6C4D14CA" w14:textId="77777777" w:rsidR="001A0DAA" w:rsidRDefault="001A0DAA" w:rsidP="00A02A0B">
      <w:pPr>
        <w:rPr>
          <w:rFonts w:ascii="Arial" w:hAnsi="Arial" w:cs="Arial"/>
          <w:sz w:val="22"/>
          <w:szCs w:val="22"/>
        </w:rPr>
      </w:pPr>
    </w:p>
    <w:p w14:paraId="64236FBC" w14:textId="77777777" w:rsidR="00A02A0B" w:rsidRDefault="008F3E01" w:rsidP="00A02A0B">
      <w:pPr>
        <w:rPr>
          <w:rFonts w:ascii="Arial" w:hAnsi="Arial" w:cs="Arial"/>
          <w:sz w:val="22"/>
          <w:szCs w:val="22"/>
        </w:rPr>
      </w:pPr>
      <w:r>
        <w:rPr>
          <w:rFonts w:ascii="Arial" w:hAnsi="Arial" w:cs="Arial"/>
          <w:sz w:val="22"/>
          <w:szCs w:val="22"/>
        </w:rPr>
        <w:t>For both Standard and Month-end rebate calculations,</w:t>
      </w:r>
      <w:r w:rsidR="005B050F">
        <w:rPr>
          <w:rFonts w:ascii="Arial" w:hAnsi="Arial" w:cs="Arial"/>
          <w:sz w:val="22"/>
          <w:szCs w:val="22"/>
        </w:rPr>
        <w:t xml:space="preserve"> the actual rebate rate to be applied can vary depending on FUM levels.</w:t>
      </w:r>
    </w:p>
    <w:p w14:paraId="3E825DEF" w14:textId="77777777" w:rsidR="00173167" w:rsidRPr="009C6F74" w:rsidRDefault="00173167" w:rsidP="00A02A0B">
      <w:pPr>
        <w:rPr>
          <w:rFonts w:ascii="Arial" w:hAnsi="Arial" w:cs="Arial"/>
          <w:sz w:val="22"/>
          <w:szCs w:val="22"/>
        </w:rPr>
      </w:pPr>
    </w:p>
    <w:p w14:paraId="2A5A5D1D" w14:textId="77777777" w:rsidR="00173167" w:rsidRPr="00173167" w:rsidRDefault="00173167" w:rsidP="00076284">
      <w:pPr>
        <w:numPr>
          <w:ilvl w:val="0"/>
          <w:numId w:val="26"/>
        </w:numPr>
        <w:ind w:left="283"/>
        <w:rPr>
          <w:rFonts w:ascii="Arial" w:hAnsi="Arial" w:cs="Arial"/>
          <w:sz w:val="22"/>
          <w:szCs w:val="22"/>
        </w:rPr>
      </w:pPr>
      <w:r w:rsidRPr="00103B80">
        <w:rPr>
          <w:rFonts w:ascii="Arial" w:hAnsi="Arial" w:cs="Arial"/>
          <w:b/>
          <w:sz w:val="22"/>
          <w:szCs w:val="22"/>
        </w:rPr>
        <w:t>Flat rate</w:t>
      </w:r>
      <w:r w:rsidRPr="00173167">
        <w:rPr>
          <w:rFonts w:ascii="Arial" w:hAnsi="Arial" w:cs="Arial"/>
          <w:b/>
          <w:sz w:val="22"/>
          <w:szCs w:val="22"/>
        </w:rPr>
        <w:t xml:space="preserve">: </w:t>
      </w:r>
      <w:r w:rsidRPr="00173167">
        <w:rPr>
          <w:rFonts w:ascii="Arial" w:hAnsi="Arial" w:cs="Arial"/>
          <w:sz w:val="22"/>
          <w:szCs w:val="22"/>
        </w:rPr>
        <w:t>The rate is applied on the total assets of the entity, i.e. SISF 40%, or SISF A 40%, SISF A1 45%.</w:t>
      </w:r>
    </w:p>
    <w:p w14:paraId="67B2D95B" w14:textId="77777777" w:rsidR="00173167" w:rsidRPr="00173167" w:rsidRDefault="00173167" w:rsidP="00076284">
      <w:pPr>
        <w:ind w:left="283"/>
        <w:rPr>
          <w:rFonts w:ascii="Arial" w:hAnsi="Arial" w:cs="Arial"/>
          <w:b/>
          <w:sz w:val="22"/>
          <w:szCs w:val="22"/>
        </w:rPr>
      </w:pPr>
    </w:p>
    <w:p w14:paraId="53495E43" w14:textId="77777777" w:rsidR="00173167" w:rsidRPr="00173167" w:rsidRDefault="00173167" w:rsidP="00076284">
      <w:pPr>
        <w:numPr>
          <w:ilvl w:val="0"/>
          <w:numId w:val="26"/>
        </w:numPr>
        <w:ind w:left="283"/>
        <w:rPr>
          <w:rFonts w:ascii="Arial" w:hAnsi="Arial" w:cs="Arial"/>
          <w:b/>
          <w:sz w:val="22"/>
          <w:szCs w:val="22"/>
        </w:rPr>
      </w:pPr>
      <w:r w:rsidRPr="00173167">
        <w:rPr>
          <w:rFonts w:ascii="Arial" w:hAnsi="Arial" w:cs="Arial"/>
          <w:b/>
          <w:sz w:val="22"/>
          <w:szCs w:val="22"/>
        </w:rPr>
        <w:t xml:space="preserve">Flat Banded Scale/Rate: </w:t>
      </w:r>
      <w:r w:rsidRPr="00173167">
        <w:rPr>
          <w:rFonts w:ascii="Arial" w:hAnsi="Arial" w:cs="Arial"/>
          <w:sz w:val="22"/>
          <w:szCs w:val="22"/>
        </w:rPr>
        <w:t>flat banded scale is based on the entity’s total assets or specific assets.  The value of the assets is totalled to determine the tranche of the scale and the rate applicable to the totality of the assets.</w:t>
      </w:r>
    </w:p>
    <w:p w14:paraId="40B200E3" w14:textId="77777777" w:rsidR="00173167" w:rsidRPr="00173167" w:rsidRDefault="00173167" w:rsidP="00076284">
      <w:pPr>
        <w:ind w:left="283"/>
        <w:rPr>
          <w:rFonts w:ascii="Arial" w:hAnsi="Arial" w:cs="Arial"/>
          <w:b/>
          <w:sz w:val="22"/>
          <w:szCs w:val="22"/>
        </w:rPr>
      </w:pPr>
    </w:p>
    <w:p w14:paraId="07D8E86C" w14:textId="77777777" w:rsidR="00173167" w:rsidRPr="00173167" w:rsidRDefault="00173167" w:rsidP="00076284">
      <w:pPr>
        <w:numPr>
          <w:ilvl w:val="0"/>
          <w:numId w:val="26"/>
        </w:numPr>
        <w:ind w:left="283"/>
        <w:rPr>
          <w:rFonts w:ascii="Arial" w:hAnsi="Arial" w:cs="Arial"/>
          <w:sz w:val="22"/>
          <w:szCs w:val="22"/>
        </w:rPr>
      </w:pPr>
      <w:r w:rsidRPr="00173167">
        <w:rPr>
          <w:rFonts w:ascii="Arial" w:hAnsi="Arial" w:cs="Arial"/>
          <w:b/>
          <w:sz w:val="22"/>
          <w:szCs w:val="22"/>
        </w:rPr>
        <w:t xml:space="preserve">Tiered or Sliding Scale: </w:t>
      </w:r>
      <w:r w:rsidRPr="00173167">
        <w:rPr>
          <w:rFonts w:ascii="Arial" w:hAnsi="Arial" w:cs="Arial"/>
          <w:sz w:val="22"/>
          <w:szCs w:val="22"/>
        </w:rPr>
        <w:t xml:space="preserve">also known as volume weighted average rate or tiered band rates, </w:t>
      </w:r>
      <w:r>
        <w:rPr>
          <w:rFonts w:ascii="Arial" w:hAnsi="Arial" w:cs="Arial"/>
          <w:sz w:val="22"/>
          <w:szCs w:val="22"/>
        </w:rPr>
        <w:t xml:space="preserve">where by </w:t>
      </w:r>
      <w:r w:rsidRPr="00173167">
        <w:rPr>
          <w:rFonts w:ascii="Arial" w:hAnsi="Arial" w:cs="Arial"/>
          <w:sz w:val="22"/>
          <w:szCs w:val="22"/>
        </w:rPr>
        <w:t>different rates are applied to the different tranches of the entity’s assets</w:t>
      </w:r>
      <w:r w:rsidR="001A0DAA">
        <w:rPr>
          <w:rFonts w:ascii="Arial" w:hAnsi="Arial" w:cs="Arial"/>
          <w:sz w:val="22"/>
          <w:szCs w:val="22"/>
        </w:rPr>
        <w:t xml:space="preserve"> or specific assets</w:t>
      </w:r>
      <w:r w:rsidRPr="00173167">
        <w:rPr>
          <w:rFonts w:ascii="Arial" w:hAnsi="Arial" w:cs="Arial"/>
          <w:sz w:val="22"/>
          <w:szCs w:val="22"/>
        </w:rPr>
        <w:t>.</w:t>
      </w:r>
    </w:p>
    <w:p w14:paraId="2759368D" w14:textId="77777777" w:rsidR="00173167" w:rsidRPr="00173167" w:rsidRDefault="00173167" w:rsidP="00076284">
      <w:pPr>
        <w:ind w:left="283"/>
        <w:rPr>
          <w:rFonts w:ascii="Arial" w:hAnsi="Arial" w:cs="Arial"/>
          <w:b/>
          <w:sz w:val="22"/>
          <w:szCs w:val="22"/>
        </w:rPr>
      </w:pPr>
    </w:p>
    <w:p w14:paraId="25BF4F8A" w14:textId="77777777" w:rsidR="009F34EF" w:rsidRDefault="009A71AE" w:rsidP="00076284">
      <w:pPr>
        <w:numPr>
          <w:ilvl w:val="0"/>
          <w:numId w:val="26"/>
        </w:numPr>
        <w:ind w:left="283"/>
        <w:rPr>
          <w:rFonts w:ascii="Arial" w:hAnsi="Arial" w:cs="Arial"/>
          <w:sz w:val="22"/>
          <w:szCs w:val="22"/>
        </w:rPr>
      </w:pPr>
      <w:r>
        <w:rPr>
          <w:rFonts w:ascii="Arial" w:hAnsi="Arial" w:cs="Arial"/>
          <w:b/>
          <w:sz w:val="22"/>
          <w:szCs w:val="22"/>
        </w:rPr>
        <w:t>Group 1 – Group 2 model </w:t>
      </w:r>
      <w:r w:rsidRPr="009A71AE">
        <w:rPr>
          <w:rFonts w:ascii="Arial" w:hAnsi="Arial" w:cs="Arial"/>
          <w:b/>
          <w:sz w:val="22"/>
          <w:szCs w:val="22"/>
          <w:lang w:val="en-US"/>
        </w:rPr>
        <w:t xml:space="preserve">: </w:t>
      </w:r>
      <w:r w:rsidRPr="009A71AE">
        <w:rPr>
          <w:rFonts w:ascii="Arial" w:hAnsi="Arial" w:cs="Arial"/>
          <w:sz w:val="22"/>
          <w:szCs w:val="22"/>
        </w:rPr>
        <w:t>also known as “</w:t>
      </w:r>
      <w:r w:rsidR="00173167" w:rsidRPr="009A71AE">
        <w:rPr>
          <w:rFonts w:ascii="Arial" w:hAnsi="Arial" w:cs="Arial"/>
          <w:sz w:val="22"/>
          <w:szCs w:val="22"/>
        </w:rPr>
        <w:t>Tier 1 – Tier 2</w:t>
      </w:r>
      <w:r w:rsidRPr="009A71AE">
        <w:rPr>
          <w:rFonts w:ascii="Arial" w:hAnsi="Arial" w:cs="Arial"/>
          <w:sz w:val="22"/>
          <w:szCs w:val="22"/>
        </w:rPr>
        <w:t>”</w:t>
      </w:r>
      <w:r w:rsidR="00173167" w:rsidRPr="009A71AE">
        <w:rPr>
          <w:rFonts w:ascii="Arial" w:hAnsi="Arial" w:cs="Arial"/>
          <w:sz w:val="22"/>
          <w:szCs w:val="22"/>
        </w:rPr>
        <w:t xml:space="preserve"> model</w:t>
      </w:r>
      <w:r>
        <w:rPr>
          <w:rFonts w:ascii="Arial" w:hAnsi="Arial" w:cs="Arial"/>
          <w:sz w:val="22"/>
          <w:szCs w:val="22"/>
        </w:rPr>
        <w:t xml:space="preserve">, </w:t>
      </w:r>
      <w:r w:rsidR="00173167" w:rsidRPr="00173167">
        <w:rPr>
          <w:rFonts w:ascii="Arial" w:hAnsi="Arial" w:cs="Arial"/>
          <w:sz w:val="22"/>
          <w:szCs w:val="22"/>
        </w:rPr>
        <w:t xml:space="preserve">the funds have been divided by London Product in group 1 and group 2 and a different flat rate is applied to each group. </w:t>
      </w:r>
    </w:p>
    <w:p w14:paraId="248E855C" w14:textId="375B1775" w:rsidR="00C24F06" w:rsidRDefault="00173167" w:rsidP="009F34EF">
      <w:pPr>
        <w:ind w:left="283"/>
        <w:rPr>
          <w:rFonts w:ascii="Arial" w:hAnsi="Arial" w:cs="Arial"/>
          <w:sz w:val="22"/>
          <w:szCs w:val="22"/>
        </w:rPr>
      </w:pPr>
      <w:r w:rsidRPr="00173167">
        <w:rPr>
          <w:rFonts w:ascii="Arial" w:hAnsi="Arial" w:cs="Arial"/>
          <w:sz w:val="22"/>
          <w:szCs w:val="22"/>
        </w:rPr>
        <w:t xml:space="preserve">Refer to </w:t>
      </w:r>
      <w:hyperlink r:id="rId11" w:history="1">
        <w:r w:rsidR="009F34EF" w:rsidRPr="00923F83">
          <w:rPr>
            <w:rStyle w:val="Hyperlink"/>
            <w:rFonts w:ascii="Arial" w:hAnsi="Arial" w:cs="Arial"/>
            <w:sz w:val="22"/>
            <w:szCs w:val="22"/>
          </w:rPr>
          <w:t>http://myintranet.london.schroders.com/channels/index/lux-fund-services/Pages/Agreement_Template.aspx</w:t>
        </w:r>
      </w:hyperlink>
      <w:r w:rsidRPr="00173167">
        <w:rPr>
          <w:rFonts w:ascii="Arial" w:hAnsi="Arial" w:cs="Arial"/>
          <w:sz w:val="22"/>
          <w:szCs w:val="22"/>
        </w:rPr>
        <w:t xml:space="preserve"> for the fund group details.</w:t>
      </w:r>
    </w:p>
    <w:p w14:paraId="058CD144" w14:textId="667C7223" w:rsidR="009F34EF" w:rsidRPr="00173167" w:rsidRDefault="009F34EF" w:rsidP="009F34EF">
      <w:pPr>
        <w:rPr>
          <w:rFonts w:ascii="Arial" w:hAnsi="Arial" w:cs="Arial"/>
          <w:sz w:val="22"/>
          <w:szCs w:val="22"/>
        </w:rPr>
      </w:pPr>
    </w:p>
    <w:p w14:paraId="0A9ECE80" w14:textId="77777777" w:rsidR="00C24F06" w:rsidRDefault="008A4BD3" w:rsidP="00076284">
      <w:pPr>
        <w:rPr>
          <w:rFonts w:ascii="Arial" w:hAnsi="Arial" w:cs="Arial"/>
          <w:sz w:val="22"/>
          <w:szCs w:val="22"/>
        </w:rPr>
      </w:pPr>
      <w:r>
        <w:rPr>
          <w:rFonts w:ascii="Arial" w:hAnsi="Arial" w:cs="Arial"/>
          <w:sz w:val="22"/>
          <w:szCs w:val="22"/>
        </w:rPr>
        <w:br w:type="page"/>
      </w:r>
    </w:p>
    <w:p w14:paraId="0964C132" w14:textId="77777777" w:rsidR="0023281C" w:rsidRPr="00A0625D" w:rsidRDefault="006D4288" w:rsidP="00A0625D">
      <w:pPr>
        <w:rPr>
          <w:rFonts w:ascii="Arial" w:hAnsi="Arial" w:cs="Arial"/>
          <w:sz w:val="22"/>
          <w:szCs w:val="22"/>
          <w:u w:val="single"/>
        </w:rPr>
      </w:pPr>
      <w:r w:rsidRPr="00A0625D">
        <w:rPr>
          <w:rFonts w:ascii="Arial" w:hAnsi="Arial" w:cs="Arial"/>
          <w:sz w:val="22"/>
          <w:szCs w:val="22"/>
          <w:u w:val="single"/>
        </w:rPr>
        <w:lastRenderedPageBreak/>
        <w:t>Rebates Calculation - Summary</w:t>
      </w:r>
    </w:p>
    <w:p w14:paraId="79545395" w14:textId="77777777" w:rsidR="006D4288" w:rsidRDefault="006D4288" w:rsidP="0023281C">
      <w:pPr>
        <w:rPr>
          <w:rFonts w:ascii="Arial" w:hAnsi="Arial" w:cs="Arial"/>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253"/>
      </w:tblGrid>
      <w:tr w:rsidR="0023281C" w:rsidRPr="00DC0DB9" w14:paraId="6D1B922F" w14:textId="77777777" w:rsidTr="00DC0DB9">
        <w:trPr>
          <w:trHeight w:val="351"/>
        </w:trPr>
        <w:tc>
          <w:tcPr>
            <w:tcW w:w="4644" w:type="dxa"/>
            <w:tcBorders>
              <w:top w:val="nil"/>
              <w:left w:val="nil"/>
              <w:bottom w:val="single" w:sz="4" w:space="0" w:color="auto"/>
              <w:right w:val="nil"/>
            </w:tcBorders>
            <w:vAlign w:val="center"/>
          </w:tcPr>
          <w:p w14:paraId="331772B7" w14:textId="77777777" w:rsidR="0023281C" w:rsidRPr="00DC0DB9" w:rsidRDefault="0023281C" w:rsidP="00DC0DB9">
            <w:pPr>
              <w:jc w:val="center"/>
              <w:rPr>
                <w:rFonts w:ascii="Arial" w:hAnsi="Arial" w:cs="Arial"/>
                <w:b/>
                <w:sz w:val="22"/>
                <w:szCs w:val="22"/>
              </w:rPr>
            </w:pPr>
            <w:r w:rsidRPr="00DC0DB9">
              <w:rPr>
                <w:rFonts w:ascii="Arial" w:hAnsi="Arial" w:cs="Arial"/>
                <w:b/>
                <w:sz w:val="22"/>
                <w:szCs w:val="22"/>
              </w:rPr>
              <w:t>What can be supported</w:t>
            </w:r>
          </w:p>
        </w:tc>
        <w:tc>
          <w:tcPr>
            <w:tcW w:w="4253" w:type="dxa"/>
            <w:tcBorders>
              <w:top w:val="nil"/>
              <w:left w:val="nil"/>
              <w:bottom w:val="single" w:sz="4" w:space="0" w:color="auto"/>
              <w:right w:val="nil"/>
            </w:tcBorders>
            <w:vAlign w:val="center"/>
          </w:tcPr>
          <w:p w14:paraId="2598AC6D" w14:textId="77777777" w:rsidR="0023281C" w:rsidRPr="00DC0DB9" w:rsidRDefault="0023281C" w:rsidP="00DC0DB9">
            <w:pPr>
              <w:jc w:val="center"/>
              <w:rPr>
                <w:rFonts w:ascii="Arial" w:hAnsi="Arial" w:cs="Arial"/>
                <w:b/>
                <w:sz w:val="22"/>
                <w:szCs w:val="22"/>
              </w:rPr>
            </w:pPr>
            <w:r w:rsidRPr="00DC0DB9">
              <w:rPr>
                <w:rFonts w:ascii="Arial" w:hAnsi="Arial" w:cs="Arial"/>
                <w:b/>
                <w:sz w:val="22"/>
                <w:szCs w:val="22"/>
              </w:rPr>
              <w:t>What cannot be supported</w:t>
            </w:r>
          </w:p>
        </w:tc>
      </w:tr>
      <w:tr w:rsidR="0023281C" w:rsidRPr="00DC0DB9" w14:paraId="4B846053" w14:textId="77777777" w:rsidTr="00DC0DB9">
        <w:trPr>
          <w:trHeight w:val="120"/>
        </w:trPr>
        <w:tc>
          <w:tcPr>
            <w:tcW w:w="4644" w:type="dxa"/>
            <w:tcBorders>
              <w:top w:val="single" w:sz="4" w:space="0" w:color="auto"/>
              <w:left w:val="nil"/>
              <w:bottom w:val="single" w:sz="4" w:space="0" w:color="auto"/>
              <w:right w:val="nil"/>
            </w:tcBorders>
          </w:tcPr>
          <w:p w14:paraId="55C404F1" w14:textId="77777777" w:rsidR="0023281C" w:rsidRPr="00DC0DB9" w:rsidRDefault="0023281C" w:rsidP="00DE4C59">
            <w:pPr>
              <w:rPr>
                <w:rFonts w:ascii="Arial" w:hAnsi="Arial" w:cs="Arial"/>
                <w:sz w:val="22"/>
                <w:szCs w:val="22"/>
              </w:rPr>
            </w:pPr>
          </w:p>
        </w:tc>
        <w:tc>
          <w:tcPr>
            <w:tcW w:w="4253" w:type="dxa"/>
            <w:tcBorders>
              <w:top w:val="single" w:sz="4" w:space="0" w:color="auto"/>
              <w:left w:val="nil"/>
              <w:bottom w:val="single" w:sz="4" w:space="0" w:color="auto"/>
              <w:right w:val="nil"/>
            </w:tcBorders>
          </w:tcPr>
          <w:p w14:paraId="5BFE72BB" w14:textId="77777777" w:rsidR="0023281C" w:rsidRPr="00DC0DB9" w:rsidRDefault="0023281C" w:rsidP="00DE4C59">
            <w:pPr>
              <w:rPr>
                <w:rFonts w:ascii="Arial" w:hAnsi="Arial" w:cs="Arial"/>
                <w:sz w:val="22"/>
                <w:szCs w:val="22"/>
              </w:rPr>
            </w:pPr>
          </w:p>
        </w:tc>
      </w:tr>
      <w:tr w:rsidR="0023281C" w:rsidRPr="00DC0DB9" w14:paraId="60C94D77" w14:textId="77777777" w:rsidTr="00DC0DB9">
        <w:tc>
          <w:tcPr>
            <w:tcW w:w="4644" w:type="dxa"/>
            <w:tcBorders>
              <w:top w:val="nil"/>
              <w:left w:val="single" w:sz="4" w:space="0" w:color="auto"/>
              <w:bottom w:val="single" w:sz="4" w:space="0" w:color="auto"/>
              <w:right w:val="single" w:sz="4" w:space="0" w:color="auto"/>
            </w:tcBorders>
          </w:tcPr>
          <w:p w14:paraId="30703BAD" w14:textId="77777777" w:rsidR="0023281C" w:rsidRPr="00DC0DB9" w:rsidRDefault="0023281C" w:rsidP="00DE4C59">
            <w:pPr>
              <w:rPr>
                <w:rFonts w:ascii="Arial" w:hAnsi="Arial" w:cs="Arial"/>
                <w:sz w:val="22"/>
                <w:szCs w:val="22"/>
              </w:rPr>
            </w:pPr>
            <w:r w:rsidRPr="00DC0DB9">
              <w:rPr>
                <w:rFonts w:ascii="Arial" w:hAnsi="Arial" w:cs="Arial"/>
                <w:sz w:val="22"/>
                <w:szCs w:val="22"/>
              </w:rPr>
              <w:t>Calculations are:</w:t>
            </w:r>
            <w:r w:rsidRPr="00DC0DB9">
              <w:rPr>
                <w:rFonts w:ascii="Arial" w:hAnsi="Arial" w:cs="Arial"/>
                <w:sz w:val="22"/>
                <w:szCs w:val="22"/>
              </w:rPr>
              <w:br/>
            </w:r>
          </w:p>
          <w:p w14:paraId="5CAE286C" w14:textId="77777777" w:rsidR="0023281C" w:rsidRPr="00DC0DB9" w:rsidRDefault="0023281C" w:rsidP="00DC0DB9">
            <w:pPr>
              <w:numPr>
                <w:ilvl w:val="0"/>
                <w:numId w:val="18"/>
              </w:numPr>
              <w:rPr>
                <w:rFonts w:ascii="Arial" w:hAnsi="Arial" w:cs="Arial"/>
                <w:sz w:val="22"/>
                <w:szCs w:val="22"/>
              </w:rPr>
            </w:pPr>
            <w:r w:rsidRPr="00DC0DB9">
              <w:rPr>
                <w:rFonts w:ascii="Arial" w:hAnsi="Arial" w:cs="Arial"/>
                <w:sz w:val="22"/>
                <w:szCs w:val="22"/>
              </w:rPr>
              <w:t>based on the daily or month-end positions.</w:t>
            </w:r>
          </w:p>
          <w:p w14:paraId="2051A981" w14:textId="77777777" w:rsidR="0023281C" w:rsidRPr="00DC0DB9" w:rsidRDefault="0023281C" w:rsidP="00DC0DB9">
            <w:pPr>
              <w:numPr>
                <w:ilvl w:val="0"/>
                <w:numId w:val="3"/>
              </w:numPr>
              <w:tabs>
                <w:tab w:val="clear" w:pos="1080"/>
                <w:tab w:val="num" w:pos="720"/>
              </w:tabs>
              <w:ind w:left="720"/>
              <w:rPr>
                <w:rFonts w:ascii="Arial" w:hAnsi="Arial" w:cs="Arial"/>
                <w:sz w:val="22"/>
                <w:szCs w:val="22"/>
              </w:rPr>
            </w:pPr>
            <w:r w:rsidRPr="00DC0DB9">
              <w:rPr>
                <w:rFonts w:ascii="Arial" w:hAnsi="Arial" w:cs="Arial"/>
                <w:sz w:val="22"/>
                <w:szCs w:val="22"/>
              </w:rPr>
              <w:t>% of the management</w:t>
            </w:r>
            <w:r w:rsidR="00012FFE">
              <w:rPr>
                <w:rFonts w:ascii="Arial" w:hAnsi="Arial" w:cs="Arial"/>
                <w:sz w:val="22"/>
                <w:szCs w:val="22"/>
              </w:rPr>
              <w:t>/distribution</w:t>
            </w:r>
            <w:r w:rsidRPr="00DC0DB9">
              <w:rPr>
                <w:rFonts w:ascii="Arial" w:hAnsi="Arial" w:cs="Arial"/>
                <w:sz w:val="22"/>
                <w:szCs w:val="22"/>
              </w:rPr>
              <w:t xml:space="preserve"> fee or</w:t>
            </w:r>
          </w:p>
          <w:p w14:paraId="77E06D69" w14:textId="77777777" w:rsidR="00641FF8" w:rsidRDefault="0023281C" w:rsidP="00DC0DB9">
            <w:pPr>
              <w:numPr>
                <w:ilvl w:val="0"/>
                <w:numId w:val="3"/>
              </w:numPr>
              <w:tabs>
                <w:tab w:val="clear" w:pos="1080"/>
                <w:tab w:val="num" w:pos="720"/>
              </w:tabs>
              <w:ind w:left="720"/>
              <w:rPr>
                <w:rFonts w:ascii="Arial" w:hAnsi="Arial" w:cs="Arial"/>
                <w:sz w:val="22"/>
                <w:szCs w:val="22"/>
              </w:rPr>
            </w:pPr>
            <w:r w:rsidRPr="00DC0DB9">
              <w:rPr>
                <w:rFonts w:ascii="Arial" w:hAnsi="Arial" w:cs="Arial"/>
                <w:sz w:val="22"/>
                <w:szCs w:val="22"/>
              </w:rPr>
              <w:t>bps applied on the ho</w:t>
            </w:r>
            <w:r w:rsidR="007F1098" w:rsidRPr="00DC0DB9">
              <w:rPr>
                <w:rFonts w:ascii="Arial" w:hAnsi="Arial" w:cs="Arial"/>
                <w:sz w:val="22"/>
                <w:szCs w:val="22"/>
              </w:rPr>
              <w:t>lding value</w:t>
            </w:r>
          </w:p>
          <w:p w14:paraId="77D25425" w14:textId="77777777" w:rsidR="00641FF8" w:rsidRPr="00DC0DB9" w:rsidRDefault="00641FF8" w:rsidP="00641FF8">
            <w:pPr>
              <w:numPr>
                <w:ilvl w:val="0"/>
                <w:numId w:val="3"/>
              </w:numPr>
              <w:tabs>
                <w:tab w:val="clear" w:pos="1080"/>
                <w:tab w:val="num" w:pos="720"/>
              </w:tabs>
              <w:ind w:left="720"/>
              <w:rPr>
                <w:rFonts w:ascii="Arial" w:hAnsi="Arial" w:cs="Arial"/>
                <w:sz w:val="22"/>
                <w:szCs w:val="22"/>
              </w:rPr>
            </w:pPr>
            <w:r w:rsidRPr="00DC0DB9">
              <w:rPr>
                <w:rFonts w:ascii="Arial" w:hAnsi="Arial" w:cs="Arial"/>
                <w:sz w:val="22"/>
                <w:szCs w:val="22"/>
              </w:rPr>
              <w:t>a % management</w:t>
            </w:r>
            <w:r>
              <w:rPr>
                <w:rFonts w:ascii="Arial" w:hAnsi="Arial" w:cs="Arial"/>
                <w:sz w:val="22"/>
                <w:szCs w:val="22"/>
              </w:rPr>
              <w:t>/distribution</w:t>
            </w:r>
            <w:r w:rsidRPr="00DC0DB9">
              <w:rPr>
                <w:rFonts w:ascii="Arial" w:hAnsi="Arial" w:cs="Arial"/>
                <w:sz w:val="22"/>
                <w:szCs w:val="22"/>
              </w:rPr>
              <w:t xml:space="preserve"> fee and a bps on FUM calculation mix is possible.</w:t>
            </w:r>
          </w:p>
        </w:tc>
        <w:tc>
          <w:tcPr>
            <w:tcW w:w="4253" w:type="dxa"/>
            <w:tcBorders>
              <w:top w:val="nil"/>
              <w:left w:val="single" w:sz="4" w:space="0" w:color="auto"/>
              <w:bottom w:val="single" w:sz="4" w:space="0" w:color="auto"/>
              <w:right w:val="single" w:sz="4" w:space="0" w:color="auto"/>
            </w:tcBorders>
          </w:tcPr>
          <w:p w14:paraId="5AF30B26" w14:textId="77777777" w:rsidR="0023281C" w:rsidRPr="00DC0DB9" w:rsidRDefault="0023281C" w:rsidP="00DC0DB9">
            <w:pPr>
              <w:ind w:left="360"/>
              <w:rPr>
                <w:rFonts w:ascii="Arial" w:hAnsi="Arial" w:cs="Arial"/>
                <w:sz w:val="22"/>
                <w:szCs w:val="22"/>
              </w:rPr>
            </w:pPr>
          </w:p>
          <w:p w14:paraId="38FF8673" w14:textId="77777777" w:rsidR="0023281C" w:rsidRPr="00DC0DB9" w:rsidRDefault="0023281C" w:rsidP="00DC0DB9">
            <w:pPr>
              <w:ind w:left="360"/>
              <w:rPr>
                <w:rFonts w:ascii="Arial" w:hAnsi="Arial" w:cs="Arial"/>
                <w:sz w:val="22"/>
                <w:szCs w:val="22"/>
              </w:rPr>
            </w:pPr>
          </w:p>
          <w:p w14:paraId="3DD5B4DB" w14:textId="77777777" w:rsidR="0023281C" w:rsidRPr="00DC0DB9" w:rsidRDefault="0023281C" w:rsidP="00DC0DB9">
            <w:pPr>
              <w:numPr>
                <w:ilvl w:val="0"/>
                <w:numId w:val="3"/>
              </w:numPr>
              <w:tabs>
                <w:tab w:val="clear" w:pos="1080"/>
                <w:tab w:val="num" w:pos="720"/>
              </w:tabs>
              <w:ind w:left="720"/>
              <w:rPr>
                <w:rFonts w:ascii="Arial" w:hAnsi="Arial" w:cs="Arial"/>
                <w:sz w:val="22"/>
                <w:szCs w:val="22"/>
              </w:rPr>
            </w:pPr>
            <w:r w:rsidRPr="00DC0DB9">
              <w:rPr>
                <w:rFonts w:ascii="Arial" w:hAnsi="Arial" w:cs="Arial"/>
                <w:sz w:val="22"/>
                <w:szCs w:val="22"/>
              </w:rPr>
              <w:t>not done at transaction level.</w:t>
            </w:r>
          </w:p>
          <w:p w14:paraId="4A880F8C" w14:textId="77777777" w:rsidR="0023281C" w:rsidRPr="00DC0DB9" w:rsidRDefault="0023281C" w:rsidP="00641FF8">
            <w:pPr>
              <w:ind w:left="360"/>
              <w:rPr>
                <w:rFonts w:ascii="Arial" w:hAnsi="Arial" w:cs="Arial"/>
                <w:sz w:val="22"/>
                <w:szCs w:val="22"/>
              </w:rPr>
            </w:pPr>
          </w:p>
        </w:tc>
      </w:tr>
      <w:tr w:rsidR="0023281C" w:rsidRPr="00DC0DB9" w14:paraId="749C99B5" w14:textId="77777777" w:rsidTr="00DC0DB9">
        <w:tc>
          <w:tcPr>
            <w:tcW w:w="4644" w:type="dxa"/>
            <w:tcBorders>
              <w:top w:val="single" w:sz="4" w:space="0" w:color="auto"/>
              <w:left w:val="nil"/>
              <w:bottom w:val="single" w:sz="4" w:space="0" w:color="auto"/>
              <w:right w:val="nil"/>
            </w:tcBorders>
          </w:tcPr>
          <w:p w14:paraId="25ADC5BE" w14:textId="77777777" w:rsidR="0023281C" w:rsidRPr="00DC0DB9" w:rsidRDefault="0023281C" w:rsidP="00DE4C59">
            <w:pPr>
              <w:rPr>
                <w:rFonts w:ascii="Arial" w:hAnsi="Arial" w:cs="Arial"/>
                <w:sz w:val="22"/>
                <w:szCs w:val="22"/>
              </w:rPr>
            </w:pPr>
          </w:p>
        </w:tc>
        <w:tc>
          <w:tcPr>
            <w:tcW w:w="4253" w:type="dxa"/>
            <w:tcBorders>
              <w:top w:val="single" w:sz="4" w:space="0" w:color="auto"/>
              <w:left w:val="nil"/>
              <w:bottom w:val="single" w:sz="4" w:space="0" w:color="auto"/>
              <w:right w:val="nil"/>
            </w:tcBorders>
          </w:tcPr>
          <w:p w14:paraId="1687D900" w14:textId="77777777" w:rsidR="0023281C" w:rsidRPr="00DC0DB9" w:rsidRDefault="0023281C" w:rsidP="00DE4C59">
            <w:pPr>
              <w:rPr>
                <w:rFonts w:ascii="Arial" w:hAnsi="Arial" w:cs="Arial"/>
                <w:sz w:val="22"/>
                <w:szCs w:val="22"/>
              </w:rPr>
            </w:pPr>
          </w:p>
        </w:tc>
      </w:tr>
      <w:tr w:rsidR="0023281C" w:rsidRPr="00DC0DB9" w14:paraId="12849D4F" w14:textId="77777777" w:rsidTr="00DC0DB9">
        <w:tc>
          <w:tcPr>
            <w:tcW w:w="4644" w:type="dxa"/>
            <w:tcBorders>
              <w:top w:val="single" w:sz="4" w:space="0" w:color="auto"/>
              <w:left w:val="single" w:sz="4" w:space="0" w:color="auto"/>
              <w:bottom w:val="single" w:sz="4" w:space="0" w:color="auto"/>
              <w:right w:val="single" w:sz="4" w:space="0" w:color="auto"/>
            </w:tcBorders>
          </w:tcPr>
          <w:p w14:paraId="36C1A440" w14:textId="77777777" w:rsidR="0023281C" w:rsidRPr="00DC0DB9" w:rsidRDefault="0023281C" w:rsidP="00DE4C59">
            <w:pPr>
              <w:rPr>
                <w:rFonts w:ascii="Arial" w:hAnsi="Arial" w:cs="Arial"/>
                <w:sz w:val="22"/>
                <w:szCs w:val="22"/>
              </w:rPr>
            </w:pPr>
            <w:r w:rsidRPr="00DC0DB9">
              <w:rPr>
                <w:rFonts w:ascii="Arial" w:hAnsi="Arial" w:cs="Arial"/>
                <w:sz w:val="22"/>
                <w:szCs w:val="22"/>
              </w:rPr>
              <w:t>The rate can be specific to certain groupings:</w:t>
            </w:r>
            <w:r w:rsidRPr="00DC0DB9">
              <w:rPr>
                <w:rFonts w:ascii="Arial" w:hAnsi="Arial" w:cs="Arial"/>
                <w:sz w:val="22"/>
                <w:szCs w:val="22"/>
              </w:rPr>
              <w:br/>
            </w:r>
          </w:p>
          <w:p w14:paraId="3DC6E984" w14:textId="77777777" w:rsidR="0023281C" w:rsidRPr="00DC0DB9" w:rsidRDefault="0023281C" w:rsidP="00DC0DB9">
            <w:pPr>
              <w:numPr>
                <w:ilvl w:val="0"/>
                <w:numId w:val="1"/>
              </w:numPr>
              <w:rPr>
                <w:rFonts w:ascii="Arial" w:hAnsi="Arial" w:cs="Arial"/>
                <w:sz w:val="22"/>
                <w:szCs w:val="22"/>
              </w:rPr>
            </w:pPr>
            <w:r w:rsidRPr="00DC0DB9">
              <w:rPr>
                <w:rFonts w:ascii="Arial" w:hAnsi="Arial" w:cs="Arial"/>
                <w:sz w:val="22"/>
                <w:szCs w:val="22"/>
              </w:rPr>
              <w:t xml:space="preserve">per </w:t>
            </w:r>
            <w:proofErr w:type="spellStart"/>
            <w:r w:rsidRPr="00DC0DB9">
              <w:rPr>
                <w:rFonts w:ascii="Arial" w:hAnsi="Arial" w:cs="Arial"/>
                <w:sz w:val="22"/>
                <w:szCs w:val="22"/>
              </w:rPr>
              <w:t>Sicav</w:t>
            </w:r>
            <w:proofErr w:type="spellEnd"/>
            <w:r w:rsidRPr="00DC0DB9">
              <w:rPr>
                <w:rFonts w:ascii="Arial" w:hAnsi="Arial" w:cs="Arial"/>
                <w:sz w:val="22"/>
                <w:szCs w:val="22"/>
              </w:rPr>
              <w:t xml:space="preserve"> (Fund)</w:t>
            </w:r>
          </w:p>
          <w:p w14:paraId="12F9449F" w14:textId="77777777" w:rsidR="0023281C" w:rsidRDefault="0023281C" w:rsidP="00DC0DB9">
            <w:pPr>
              <w:numPr>
                <w:ilvl w:val="0"/>
                <w:numId w:val="1"/>
              </w:numPr>
              <w:rPr>
                <w:rFonts w:ascii="Arial" w:hAnsi="Arial" w:cs="Arial"/>
                <w:sz w:val="22"/>
                <w:szCs w:val="22"/>
              </w:rPr>
            </w:pPr>
            <w:r w:rsidRPr="00DC0DB9">
              <w:rPr>
                <w:rFonts w:ascii="Arial" w:hAnsi="Arial" w:cs="Arial"/>
                <w:sz w:val="22"/>
                <w:szCs w:val="22"/>
              </w:rPr>
              <w:t>per management</w:t>
            </w:r>
            <w:r w:rsidR="00DD7DB2">
              <w:rPr>
                <w:rFonts w:ascii="Arial" w:hAnsi="Arial" w:cs="Arial"/>
                <w:sz w:val="22"/>
                <w:szCs w:val="22"/>
              </w:rPr>
              <w:t xml:space="preserve">/distribution </w:t>
            </w:r>
            <w:r w:rsidRPr="00DC0DB9">
              <w:rPr>
                <w:rFonts w:ascii="Arial" w:hAnsi="Arial" w:cs="Arial"/>
                <w:sz w:val="22"/>
                <w:szCs w:val="22"/>
              </w:rPr>
              <w:t>fee rate</w:t>
            </w:r>
            <w:r w:rsidR="00DD7DB2">
              <w:rPr>
                <w:rFonts w:ascii="Arial" w:hAnsi="Arial" w:cs="Arial"/>
                <w:sz w:val="22"/>
                <w:szCs w:val="22"/>
              </w:rPr>
              <w:t xml:space="preserve"> (bps or %)</w:t>
            </w:r>
          </w:p>
          <w:p w14:paraId="7FCA4F2A" w14:textId="77777777" w:rsidR="00DD7DB2" w:rsidRPr="00DC0DB9" w:rsidRDefault="00DD7DB2" w:rsidP="00DC0DB9">
            <w:pPr>
              <w:numPr>
                <w:ilvl w:val="0"/>
                <w:numId w:val="1"/>
              </w:numPr>
              <w:rPr>
                <w:rFonts w:ascii="Arial" w:hAnsi="Arial" w:cs="Arial"/>
                <w:sz w:val="22"/>
                <w:szCs w:val="22"/>
              </w:rPr>
            </w:pPr>
            <w:r>
              <w:rPr>
                <w:rFonts w:ascii="Arial" w:hAnsi="Arial" w:cs="Arial"/>
                <w:sz w:val="22"/>
                <w:szCs w:val="22"/>
              </w:rPr>
              <w:t>per combined management and distribution fees (bps or %)</w:t>
            </w:r>
          </w:p>
          <w:p w14:paraId="0F4C026F" w14:textId="77777777" w:rsidR="0023281C" w:rsidRDefault="0023281C" w:rsidP="00DC0DB9">
            <w:pPr>
              <w:numPr>
                <w:ilvl w:val="0"/>
                <w:numId w:val="1"/>
              </w:numPr>
              <w:rPr>
                <w:rFonts w:ascii="Arial" w:hAnsi="Arial" w:cs="Arial"/>
                <w:sz w:val="22"/>
                <w:szCs w:val="22"/>
              </w:rPr>
            </w:pPr>
            <w:r w:rsidRPr="00DC0DB9">
              <w:rPr>
                <w:rFonts w:ascii="Arial" w:hAnsi="Arial" w:cs="Arial"/>
                <w:sz w:val="22"/>
                <w:szCs w:val="22"/>
              </w:rPr>
              <w:t>per share class</w:t>
            </w:r>
          </w:p>
          <w:p w14:paraId="72061FAF" w14:textId="77777777" w:rsidR="001A0DAA" w:rsidRDefault="001A0DAA" w:rsidP="00DC0DB9">
            <w:pPr>
              <w:numPr>
                <w:ilvl w:val="0"/>
                <w:numId w:val="1"/>
              </w:numPr>
              <w:rPr>
                <w:rFonts w:ascii="Arial" w:hAnsi="Arial" w:cs="Arial"/>
                <w:sz w:val="22"/>
                <w:szCs w:val="22"/>
              </w:rPr>
            </w:pPr>
            <w:r>
              <w:rPr>
                <w:rFonts w:ascii="Arial" w:hAnsi="Arial" w:cs="Arial"/>
                <w:sz w:val="22"/>
                <w:szCs w:val="22"/>
              </w:rPr>
              <w:t xml:space="preserve">per </w:t>
            </w:r>
            <w:r w:rsidR="00DD7DB2">
              <w:rPr>
                <w:rFonts w:ascii="Arial" w:hAnsi="Arial" w:cs="Arial"/>
                <w:sz w:val="22"/>
                <w:szCs w:val="22"/>
              </w:rPr>
              <w:t>sector/ sub sector (bonds, equities, liquidities)</w:t>
            </w:r>
          </w:p>
          <w:p w14:paraId="6FFA61BA" w14:textId="77777777" w:rsidR="00DD7DB2" w:rsidRDefault="00DD7DB2" w:rsidP="00DC0DB9">
            <w:pPr>
              <w:numPr>
                <w:ilvl w:val="0"/>
                <w:numId w:val="1"/>
              </w:numPr>
              <w:rPr>
                <w:rFonts w:ascii="Arial" w:hAnsi="Arial" w:cs="Arial"/>
                <w:sz w:val="22"/>
                <w:szCs w:val="22"/>
              </w:rPr>
            </w:pPr>
            <w:r>
              <w:rPr>
                <w:rFonts w:ascii="Arial" w:hAnsi="Arial" w:cs="Arial"/>
                <w:sz w:val="22"/>
                <w:szCs w:val="22"/>
              </w:rPr>
              <w:t>per Fund currency</w:t>
            </w:r>
          </w:p>
          <w:p w14:paraId="7383FECC" w14:textId="77777777" w:rsidR="0023281C" w:rsidRPr="00DC0DB9" w:rsidRDefault="0023281C" w:rsidP="00DC0DB9">
            <w:pPr>
              <w:numPr>
                <w:ilvl w:val="0"/>
                <w:numId w:val="1"/>
              </w:numPr>
              <w:rPr>
                <w:rFonts w:ascii="Arial" w:hAnsi="Arial" w:cs="Arial"/>
                <w:sz w:val="22"/>
                <w:szCs w:val="22"/>
              </w:rPr>
            </w:pPr>
            <w:r w:rsidRPr="00DC0DB9">
              <w:rPr>
                <w:rFonts w:ascii="Arial" w:hAnsi="Arial" w:cs="Arial"/>
                <w:sz w:val="22"/>
                <w:szCs w:val="22"/>
              </w:rPr>
              <w:t>other groupings can be considered on a case by case basis</w:t>
            </w:r>
            <w:r w:rsidR="007F1098" w:rsidRPr="00DC0DB9">
              <w:rPr>
                <w:rFonts w:ascii="Arial" w:hAnsi="Arial" w:cs="Arial"/>
                <w:sz w:val="22"/>
                <w:szCs w:val="22"/>
              </w:rPr>
              <w:t>.</w:t>
            </w:r>
          </w:p>
        </w:tc>
        <w:tc>
          <w:tcPr>
            <w:tcW w:w="4253" w:type="dxa"/>
            <w:tcBorders>
              <w:top w:val="single" w:sz="4" w:space="0" w:color="auto"/>
              <w:left w:val="single" w:sz="4" w:space="0" w:color="auto"/>
              <w:bottom w:val="single" w:sz="4" w:space="0" w:color="auto"/>
              <w:right w:val="single" w:sz="4" w:space="0" w:color="auto"/>
            </w:tcBorders>
          </w:tcPr>
          <w:p w14:paraId="29D2DD69" w14:textId="77777777" w:rsidR="0023281C" w:rsidRPr="00DC0DB9" w:rsidRDefault="0023281C" w:rsidP="00DC0DB9">
            <w:pPr>
              <w:ind w:left="360"/>
              <w:rPr>
                <w:rFonts w:ascii="Arial" w:hAnsi="Arial" w:cs="Arial"/>
                <w:sz w:val="22"/>
                <w:szCs w:val="22"/>
              </w:rPr>
            </w:pPr>
          </w:p>
          <w:p w14:paraId="1984BE05" w14:textId="77777777" w:rsidR="0023281C" w:rsidRPr="00DC0DB9" w:rsidRDefault="0023281C" w:rsidP="00DC0DB9">
            <w:pPr>
              <w:ind w:left="360"/>
              <w:rPr>
                <w:rFonts w:ascii="Arial" w:hAnsi="Arial" w:cs="Arial"/>
                <w:sz w:val="22"/>
                <w:szCs w:val="22"/>
              </w:rPr>
            </w:pPr>
          </w:p>
          <w:p w14:paraId="147A7420" w14:textId="77777777" w:rsidR="0023281C" w:rsidRPr="00DC0DB9" w:rsidRDefault="00E43CBD" w:rsidP="00DC0DB9">
            <w:pPr>
              <w:numPr>
                <w:ilvl w:val="0"/>
                <w:numId w:val="1"/>
              </w:numPr>
              <w:rPr>
                <w:rFonts w:ascii="Arial" w:hAnsi="Arial" w:cs="Arial"/>
                <w:sz w:val="22"/>
                <w:szCs w:val="22"/>
              </w:rPr>
            </w:pPr>
            <w:r w:rsidRPr="00DC0DB9">
              <w:rPr>
                <w:rFonts w:ascii="Arial" w:hAnsi="Arial" w:cs="Arial"/>
                <w:sz w:val="22"/>
                <w:szCs w:val="22"/>
              </w:rPr>
              <w:t>t</w:t>
            </w:r>
            <w:r w:rsidR="0023281C" w:rsidRPr="00DC0DB9">
              <w:rPr>
                <w:rFonts w:ascii="Arial" w:hAnsi="Arial" w:cs="Arial"/>
                <w:sz w:val="22"/>
                <w:szCs w:val="22"/>
              </w:rPr>
              <w:t xml:space="preserve">he rate </w:t>
            </w:r>
            <w:proofErr w:type="spellStart"/>
            <w:r w:rsidR="0023281C" w:rsidRPr="00DC0DB9">
              <w:rPr>
                <w:rFonts w:ascii="Arial" w:hAnsi="Arial" w:cs="Arial"/>
                <w:sz w:val="22"/>
                <w:szCs w:val="22"/>
              </w:rPr>
              <w:t>can not</w:t>
            </w:r>
            <w:proofErr w:type="spellEnd"/>
            <w:r w:rsidR="0023281C" w:rsidRPr="00DC0DB9">
              <w:rPr>
                <w:rFonts w:ascii="Arial" w:hAnsi="Arial" w:cs="Arial"/>
                <w:sz w:val="22"/>
                <w:szCs w:val="22"/>
              </w:rPr>
              <w:t xml:space="preserve"> be specific to individual or particular groups of deals.</w:t>
            </w:r>
          </w:p>
          <w:p w14:paraId="38C5ACD8" w14:textId="77777777" w:rsidR="0023281C" w:rsidRPr="00DC0DB9" w:rsidRDefault="0023281C" w:rsidP="00DC0DB9">
            <w:pPr>
              <w:ind w:left="360"/>
              <w:rPr>
                <w:rFonts w:ascii="Arial" w:hAnsi="Arial" w:cs="Arial"/>
                <w:sz w:val="22"/>
                <w:szCs w:val="22"/>
              </w:rPr>
            </w:pPr>
          </w:p>
        </w:tc>
      </w:tr>
      <w:tr w:rsidR="00C24F06" w:rsidRPr="00DC0DB9" w14:paraId="3C3B4AE5" w14:textId="77777777" w:rsidTr="00DC0DB9">
        <w:tc>
          <w:tcPr>
            <w:tcW w:w="4644" w:type="dxa"/>
            <w:tcBorders>
              <w:top w:val="single" w:sz="4" w:space="0" w:color="auto"/>
              <w:left w:val="nil"/>
              <w:bottom w:val="nil"/>
              <w:right w:val="nil"/>
            </w:tcBorders>
          </w:tcPr>
          <w:p w14:paraId="04939414" w14:textId="77777777" w:rsidR="00C24F06" w:rsidRPr="00DC0DB9" w:rsidRDefault="00C24F06" w:rsidP="00DE4C59">
            <w:pPr>
              <w:rPr>
                <w:rFonts w:ascii="Arial" w:hAnsi="Arial" w:cs="Arial"/>
                <w:sz w:val="22"/>
                <w:szCs w:val="22"/>
              </w:rPr>
            </w:pPr>
          </w:p>
        </w:tc>
        <w:tc>
          <w:tcPr>
            <w:tcW w:w="4253" w:type="dxa"/>
            <w:tcBorders>
              <w:top w:val="single" w:sz="4" w:space="0" w:color="auto"/>
              <w:left w:val="nil"/>
              <w:bottom w:val="nil"/>
              <w:right w:val="nil"/>
            </w:tcBorders>
          </w:tcPr>
          <w:p w14:paraId="2CA47578" w14:textId="77777777" w:rsidR="00C24F06" w:rsidRPr="00DC0DB9" w:rsidRDefault="00C24F06" w:rsidP="00DE4C59">
            <w:pPr>
              <w:rPr>
                <w:rFonts w:ascii="Arial" w:hAnsi="Arial" w:cs="Arial"/>
                <w:sz w:val="22"/>
                <w:szCs w:val="22"/>
              </w:rPr>
            </w:pPr>
          </w:p>
        </w:tc>
      </w:tr>
      <w:tr w:rsidR="0023281C" w:rsidRPr="00DC0DB9" w14:paraId="66146287" w14:textId="77777777" w:rsidTr="00DC0DB9">
        <w:tc>
          <w:tcPr>
            <w:tcW w:w="4644" w:type="dxa"/>
            <w:tcBorders>
              <w:top w:val="single" w:sz="4" w:space="0" w:color="auto"/>
              <w:left w:val="single" w:sz="4" w:space="0" w:color="auto"/>
              <w:bottom w:val="single" w:sz="4" w:space="0" w:color="auto"/>
              <w:right w:val="single" w:sz="4" w:space="0" w:color="auto"/>
            </w:tcBorders>
          </w:tcPr>
          <w:p w14:paraId="49B505E9" w14:textId="77777777" w:rsidR="0023281C" w:rsidRPr="00DC0DB9" w:rsidRDefault="0023281C" w:rsidP="00DE4C59">
            <w:pPr>
              <w:rPr>
                <w:rFonts w:ascii="Arial" w:hAnsi="Arial" w:cs="Arial"/>
                <w:sz w:val="22"/>
                <w:szCs w:val="22"/>
              </w:rPr>
            </w:pPr>
            <w:r w:rsidRPr="00DC0DB9">
              <w:rPr>
                <w:rFonts w:ascii="Arial" w:hAnsi="Arial" w:cs="Arial"/>
                <w:sz w:val="22"/>
                <w:szCs w:val="22"/>
              </w:rPr>
              <w:t>In the case of Fee rate steps on FUM levels:</w:t>
            </w:r>
          </w:p>
          <w:p w14:paraId="40B0A9DD" w14:textId="77777777" w:rsidR="0023281C" w:rsidRPr="00DC0DB9" w:rsidRDefault="0023281C" w:rsidP="00DE4C59">
            <w:pPr>
              <w:rPr>
                <w:rFonts w:ascii="Arial" w:hAnsi="Arial" w:cs="Arial"/>
                <w:sz w:val="22"/>
                <w:szCs w:val="22"/>
              </w:rPr>
            </w:pPr>
          </w:p>
          <w:p w14:paraId="5471648B" w14:textId="77777777" w:rsidR="00076284" w:rsidRPr="00076284" w:rsidRDefault="0023281C" w:rsidP="00076284">
            <w:pPr>
              <w:numPr>
                <w:ilvl w:val="0"/>
                <w:numId w:val="29"/>
              </w:numPr>
              <w:rPr>
                <w:rFonts w:ascii="Arial" w:hAnsi="Arial" w:cs="Arial"/>
                <w:sz w:val="22"/>
                <w:szCs w:val="22"/>
              </w:rPr>
            </w:pPr>
            <w:r w:rsidRPr="00DC0DB9">
              <w:rPr>
                <w:rFonts w:ascii="Arial" w:hAnsi="Arial" w:cs="Arial"/>
                <w:sz w:val="22"/>
                <w:szCs w:val="22"/>
              </w:rPr>
              <w:t>the rate is based on the total investment of the Distributor (in all products)</w:t>
            </w:r>
            <w:r w:rsidR="00012FFE">
              <w:rPr>
                <w:rFonts w:ascii="Arial" w:hAnsi="Arial" w:cs="Arial"/>
                <w:sz w:val="22"/>
                <w:szCs w:val="22"/>
              </w:rPr>
              <w:t xml:space="preserve"> by default</w:t>
            </w:r>
          </w:p>
          <w:p w14:paraId="1D2AF97F" w14:textId="77777777" w:rsidR="0023281C" w:rsidRPr="00DC0DB9" w:rsidRDefault="0023281C" w:rsidP="00076284">
            <w:pPr>
              <w:ind w:left="737"/>
              <w:rPr>
                <w:rFonts w:ascii="Arial" w:hAnsi="Arial" w:cs="Arial"/>
                <w:sz w:val="22"/>
                <w:szCs w:val="22"/>
              </w:rPr>
            </w:pPr>
          </w:p>
          <w:p w14:paraId="14B23E2D" w14:textId="77777777" w:rsidR="00641FF8" w:rsidRDefault="0023281C" w:rsidP="00076284">
            <w:pPr>
              <w:numPr>
                <w:ilvl w:val="0"/>
                <w:numId w:val="29"/>
              </w:numPr>
              <w:rPr>
                <w:rFonts w:ascii="Arial" w:hAnsi="Arial" w:cs="Arial"/>
                <w:sz w:val="22"/>
                <w:szCs w:val="22"/>
              </w:rPr>
            </w:pPr>
            <w:r w:rsidRPr="00DC0DB9">
              <w:rPr>
                <w:rFonts w:ascii="Arial" w:hAnsi="Arial" w:cs="Arial"/>
                <w:sz w:val="22"/>
                <w:szCs w:val="22"/>
              </w:rPr>
              <w:t>the rate will be applicable from the date that the total investments of the Distributor reached the new rate tier.</w:t>
            </w:r>
          </w:p>
          <w:p w14:paraId="1508114D" w14:textId="77777777" w:rsidR="00076284" w:rsidRPr="00076284" w:rsidRDefault="00076284" w:rsidP="00076284">
            <w:pPr>
              <w:rPr>
                <w:rFonts w:ascii="Arial" w:hAnsi="Arial" w:cs="Arial"/>
                <w:sz w:val="22"/>
                <w:szCs w:val="22"/>
              </w:rPr>
            </w:pPr>
          </w:p>
          <w:p w14:paraId="718C7F5A" w14:textId="77777777" w:rsidR="00641FF8" w:rsidRDefault="00641FF8" w:rsidP="00076284">
            <w:pPr>
              <w:numPr>
                <w:ilvl w:val="0"/>
                <w:numId w:val="29"/>
              </w:numPr>
              <w:rPr>
                <w:rFonts w:ascii="Arial" w:hAnsi="Arial" w:cs="Arial"/>
                <w:sz w:val="22"/>
                <w:szCs w:val="22"/>
              </w:rPr>
            </w:pPr>
            <w:r w:rsidRPr="00DC0DB9">
              <w:rPr>
                <w:rFonts w:ascii="Arial" w:hAnsi="Arial" w:cs="Arial"/>
                <w:sz w:val="22"/>
                <w:szCs w:val="22"/>
              </w:rPr>
              <w:t>t</w:t>
            </w:r>
            <w:r>
              <w:rPr>
                <w:rFonts w:ascii="Arial" w:hAnsi="Arial" w:cs="Arial"/>
                <w:sz w:val="22"/>
                <w:szCs w:val="22"/>
              </w:rPr>
              <w:t>he incremental rate can</w:t>
            </w:r>
            <w:r w:rsidRPr="00DC0DB9">
              <w:rPr>
                <w:rFonts w:ascii="Arial" w:hAnsi="Arial" w:cs="Arial"/>
                <w:sz w:val="22"/>
                <w:szCs w:val="22"/>
              </w:rPr>
              <w:t xml:space="preserve"> be based on the total investment of the Distributor in one product</w:t>
            </w:r>
            <w:r>
              <w:rPr>
                <w:rFonts w:ascii="Arial" w:hAnsi="Arial" w:cs="Arial"/>
                <w:sz w:val="22"/>
                <w:szCs w:val="22"/>
              </w:rPr>
              <w:t xml:space="preserve"> or group of products</w:t>
            </w:r>
            <w:r w:rsidR="00012FFE">
              <w:rPr>
                <w:rFonts w:ascii="Arial" w:hAnsi="Arial" w:cs="Arial"/>
                <w:sz w:val="22"/>
                <w:szCs w:val="22"/>
              </w:rPr>
              <w:t xml:space="preserve"> as specify in agreement</w:t>
            </w:r>
            <w:r w:rsidRPr="00DC0DB9">
              <w:rPr>
                <w:rFonts w:ascii="Arial" w:hAnsi="Arial" w:cs="Arial"/>
                <w:sz w:val="22"/>
                <w:szCs w:val="22"/>
              </w:rPr>
              <w:t xml:space="preserve">. </w:t>
            </w:r>
          </w:p>
          <w:p w14:paraId="35FE8B5E" w14:textId="77777777" w:rsidR="00076284" w:rsidRPr="00076284" w:rsidRDefault="00076284" w:rsidP="00076284">
            <w:pPr>
              <w:ind w:left="720"/>
              <w:rPr>
                <w:rFonts w:ascii="Arial" w:hAnsi="Arial" w:cs="Arial"/>
                <w:sz w:val="22"/>
                <w:szCs w:val="22"/>
              </w:rPr>
            </w:pPr>
          </w:p>
          <w:p w14:paraId="01356FBE" w14:textId="77777777" w:rsidR="00DD7DB2" w:rsidRPr="00DC0DB9" w:rsidRDefault="00DD7DB2" w:rsidP="00076284">
            <w:pPr>
              <w:numPr>
                <w:ilvl w:val="0"/>
                <w:numId w:val="29"/>
              </w:numPr>
              <w:rPr>
                <w:rFonts w:ascii="Arial" w:hAnsi="Arial" w:cs="Arial"/>
                <w:sz w:val="22"/>
                <w:szCs w:val="22"/>
              </w:rPr>
            </w:pPr>
            <w:r>
              <w:rPr>
                <w:rFonts w:ascii="Arial" w:hAnsi="Arial" w:cs="Arial"/>
                <w:sz w:val="22"/>
                <w:szCs w:val="22"/>
              </w:rPr>
              <w:t>In case of global distributor</w:t>
            </w:r>
            <w:r w:rsidR="00A0625D">
              <w:rPr>
                <w:rFonts w:ascii="Arial" w:hAnsi="Arial" w:cs="Arial"/>
                <w:sz w:val="22"/>
                <w:szCs w:val="22"/>
              </w:rPr>
              <w:t>,</w:t>
            </w:r>
            <w:r>
              <w:rPr>
                <w:rFonts w:ascii="Arial" w:hAnsi="Arial" w:cs="Arial"/>
                <w:sz w:val="22"/>
                <w:szCs w:val="22"/>
              </w:rPr>
              <w:t xml:space="preserve"> </w:t>
            </w:r>
            <w:r w:rsidR="004F4B94">
              <w:rPr>
                <w:rFonts w:ascii="Arial" w:hAnsi="Arial" w:cs="Arial"/>
                <w:sz w:val="22"/>
                <w:szCs w:val="22"/>
              </w:rPr>
              <w:t>the grouping</w:t>
            </w:r>
            <w:r w:rsidR="00C704BA">
              <w:rPr>
                <w:rFonts w:ascii="Arial" w:hAnsi="Arial" w:cs="Arial"/>
                <w:sz w:val="22"/>
                <w:szCs w:val="22"/>
              </w:rPr>
              <w:t xml:space="preserve"> of assets needs to be clearly identified. In such a case </w:t>
            </w:r>
            <w:r w:rsidR="00A0625D">
              <w:rPr>
                <w:rFonts w:ascii="Arial" w:hAnsi="Arial" w:cs="Arial"/>
                <w:sz w:val="22"/>
                <w:szCs w:val="22"/>
              </w:rPr>
              <w:t>contact us to assess the feasibility.</w:t>
            </w:r>
          </w:p>
          <w:p w14:paraId="7A0C7049" w14:textId="77777777" w:rsidR="00DD7DB2" w:rsidRPr="00DC0DB9" w:rsidRDefault="00DD7DB2" w:rsidP="00641FF8">
            <w:pPr>
              <w:ind w:left="426"/>
              <w:rPr>
                <w:rFonts w:ascii="Arial" w:hAnsi="Arial" w:cs="Arial"/>
                <w:sz w:val="22"/>
                <w:szCs w:val="22"/>
              </w:rPr>
            </w:pPr>
          </w:p>
          <w:p w14:paraId="4A3C9D6D" w14:textId="77777777" w:rsidR="0023281C" w:rsidRPr="00DC0DB9" w:rsidRDefault="0023281C" w:rsidP="00DE4C59">
            <w:pPr>
              <w:rPr>
                <w:rFonts w:ascii="Arial" w:hAnsi="Arial" w:cs="Arial"/>
                <w:sz w:val="22"/>
                <w:szCs w:val="22"/>
              </w:rPr>
            </w:pPr>
          </w:p>
        </w:tc>
        <w:tc>
          <w:tcPr>
            <w:tcW w:w="4253" w:type="dxa"/>
            <w:tcBorders>
              <w:top w:val="single" w:sz="4" w:space="0" w:color="auto"/>
              <w:left w:val="single" w:sz="4" w:space="0" w:color="auto"/>
              <w:bottom w:val="single" w:sz="4" w:space="0" w:color="auto"/>
              <w:right w:val="single" w:sz="4" w:space="0" w:color="auto"/>
            </w:tcBorders>
          </w:tcPr>
          <w:p w14:paraId="12703C30" w14:textId="77777777" w:rsidR="0023281C" w:rsidRPr="00DC0DB9" w:rsidRDefault="0023281C" w:rsidP="00DE4C59">
            <w:pPr>
              <w:rPr>
                <w:rFonts w:ascii="Arial" w:hAnsi="Arial" w:cs="Arial"/>
                <w:sz w:val="22"/>
                <w:szCs w:val="22"/>
              </w:rPr>
            </w:pPr>
          </w:p>
          <w:p w14:paraId="76C1ABE4" w14:textId="77777777" w:rsidR="0023281C" w:rsidRPr="00DC0DB9" w:rsidRDefault="0023281C" w:rsidP="00DE4C59">
            <w:pPr>
              <w:rPr>
                <w:rFonts w:ascii="Arial" w:hAnsi="Arial" w:cs="Arial"/>
                <w:sz w:val="22"/>
                <w:szCs w:val="22"/>
              </w:rPr>
            </w:pPr>
          </w:p>
          <w:p w14:paraId="7EEC3B57" w14:textId="77777777" w:rsidR="0023281C" w:rsidRPr="00DC0DB9" w:rsidRDefault="0023281C" w:rsidP="00DE4C59">
            <w:pPr>
              <w:rPr>
                <w:rFonts w:ascii="Arial" w:hAnsi="Arial" w:cs="Arial"/>
                <w:sz w:val="22"/>
                <w:szCs w:val="22"/>
              </w:rPr>
            </w:pPr>
          </w:p>
          <w:p w14:paraId="47AD8000" w14:textId="77777777" w:rsidR="0023281C" w:rsidRPr="00DC0DB9" w:rsidRDefault="00E43CBD" w:rsidP="00DC0DB9">
            <w:pPr>
              <w:numPr>
                <w:ilvl w:val="0"/>
                <w:numId w:val="16"/>
              </w:numPr>
              <w:tabs>
                <w:tab w:val="clear" w:pos="1140"/>
                <w:tab w:val="num" w:pos="601"/>
              </w:tabs>
              <w:ind w:left="601" w:hanging="425"/>
              <w:rPr>
                <w:rFonts w:ascii="Arial" w:hAnsi="Arial" w:cs="Arial"/>
                <w:sz w:val="22"/>
                <w:szCs w:val="22"/>
              </w:rPr>
            </w:pPr>
            <w:r w:rsidRPr="00DC0DB9">
              <w:rPr>
                <w:rFonts w:ascii="Arial" w:hAnsi="Arial" w:cs="Arial"/>
                <w:sz w:val="22"/>
                <w:szCs w:val="22"/>
              </w:rPr>
              <w:t>t</w:t>
            </w:r>
            <w:r w:rsidR="0023281C" w:rsidRPr="00DC0DB9">
              <w:rPr>
                <w:rFonts w:ascii="Arial" w:hAnsi="Arial" w:cs="Arial"/>
                <w:sz w:val="22"/>
                <w:szCs w:val="22"/>
              </w:rPr>
              <w:t xml:space="preserve">he rate step will not be fixed for a whole month or quarter (unless exceptionally if the calculation is month-end holdings based) </w:t>
            </w:r>
          </w:p>
        </w:tc>
      </w:tr>
    </w:tbl>
    <w:p w14:paraId="3714CFC7" w14:textId="77777777" w:rsidR="0023281C" w:rsidRDefault="0023281C" w:rsidP="0023281C"/>
    <w:p w14:paraId="3473CD00" w14:textId="77777777" w:rsidR="0023281C" w:rsidRDefault="008A4BD3" w:rsidP="0023281C">
      <w:r>
        <w:br w:type="page"/>
      </w:r>
    </w:p>
    <w:p w14:paraId="598C4C52" w14:textId="77777777" w:rsidR="0023281C" w:rsidRPr="00B73415" w:rsidRDefault="0023281C" w:rsidP="0023281C">
      <w:pPr>
        <w:numPr>
          <w:ilvl w:val="0"/>
          <w:numId w:val="25"/>
        </w:numPr>
        <w:rPr>
          <w:rFonts w:ascii="Arial" w:hAnsi="Arial" w:cs="Arial"/>
          <w:b/>
          <w:bCs/>
          <w:i/>
          <w:kern w:val="32"/>
          <w:sz w:val="24"/>
          <w:szCs w:val="24"/>
          <w:u w:val="single"/>
        </w:rPr>
      </w:pPr>
      <w:r w:rsidRPr="00B73415">
        <w:rPr>
          <w:rFonts w:ascii="Arial" w:hAnsi="Arial" w:cs="Arial"/>
          <w:b/>
          <w:bCs/>
          <w:i/>
          <w:kern w:val="32"/>
          <w:sz w:val="24"/>
          <w:szCs w:val="24"/>
          <w:u w:val="single"/>
        </w:rPr>
        <w:lastRenderedPageBreak/>
        <w:t xml:space="preserve">Timing, communication and payment of </w:t>
      </w:r>
      <w:r w:rsidR="00D034ED">
        <w:rPr>
          <w:rFonts w:ascii="Arial" w:hAnsi="Arial" w:cs="Arial"/>
          <w:b/>
          <w:bCs/>
          <w:i/>
          <w:kern w:val="32"/>
          <w:sz w:val="24"/>
          <w:szCs w:val="24"/>
          <w:u w:val="single"/>
        </w:rPr>
        <w:t>Rebates</w:t>
      </w:r>
      <w:r w:rsidRPr="00B73415">
        <w:rPr>
          <w:rFonts w:ascii="Arial" w:hAnsi="Arial" w:cs="Arial"/>
          <w:b/>
          <w:bCs/>
          <w:i/>
          <w:kern w:val="32"/>
          <w:sz w:val="24"/>
          <w:szCs w:val="24"/>
          <w:u w:val="single"/>
        </w:rPr>
        <w:t>:</w:t>
      </w:r>
    </w:p>
    <w:p w14:paraId="7658BF07" w14:textId="77777777" w:rsidR="0023281C" w:rsidRDefault="0023281C" w:rsidP="0023281C">
      <w:pPr>
        <w:rPr>
          <w:rFonts w:ascii="Arial" w:hAnsi="Arial" w:cs="Arial"/>
          <w:sz w:val="22"/>
          <w:szCs w:val="22"/>
        </w:rPr>
      </w:pPr>
    </w:p>
    <w:p w14:paraId="45A55632" w14:textId="77777777" w:rsidR="00A0625D" w:rsidRPr="00F6153B" w:rsidRDefault="00A0625D" w:rsidP="00A0625D">
      <w:pPr>
        <w:rPr>
          <w:rFonts w:ascii="Arial" w:hAnsi="Arial" w:cs="Arial"/>
          <w:sz w:val="22"/>
          <w:szCs w:val="22"/>
          <w:u w:val="single"/>
        </w:rPr>
      </w:pPr>
      <w:r>
        <w:rPr>
          <w:rFonts w:ascii="Arial" w:hAnsi="Arial" w:cs="Arial"/>
          <w:sz w:val="22"/>
          <w:szCs w:val="22"/>
          <w:u w:val="single"/>
        </w:rPr>
        <w:t>Timing</w:t>
      </w:r>
      <w:r w:rsidR="00B0488C">
        <w:rPr>
          <w:rFonts w:ascii="Arial" w:hAnsi="Arial" w:cs="Arial"/>
          <w:sz w:val="22"/>
          <w:szCs w:val="22"/>
          <w:u w:val="single"/>
        </w:rPr>
        <w:t xml:space="preserve"> Quarterly/Monthly/yearly process</w:t>
      </w:r>
    </w:p>
    <w:p w14:paraId="72E8904E" w14:textId="77777777" w:rsidR="00A0625D" w:rsidRDefault="00A0625D" w:rsidP="00F6153B">
      <w:pPr>
        <w:rPr>
          <w:rFonts w:ascii="Arial" w:hAnsi="Arial" w:cs="Arial"/>
          <w:sz w:val="22"/>
          <w:szCs w:val="22"/>
        </w:rPr>
      </w:pPr>
    </w:p>
    <w:p w14:paraId="5EF4FFDD" w14:textId="77777777" w:rsidR="00B0488C" w:rsidRDefault="00F6153B" w:rsidP="00F6153B">
      <w:pPr>
        <w:rPr>
          <w:rFonts w:ascii="Arial" w:hAnsi="Arial" w:cs="Arial"/>
          <w:sz w:val="22"/>
          <w:szCs w:val="22"/>
        </w:rPr>
      </w:pPr>
      <w:r>
        <w:rPr>
          <w:rFonts w:ascii="Arial" w:hAnsi="Arial" w:cs="Arial"/>
          <w:sz w:val="22"/>
          <w:szCs w:val="22"/>
        </w:rPr>
        <w:t xml:space="preserve">The Rebates calculation process takes place immediately after each calendar </w:t>
      </w:r>
      <w:r w:rsidRPr="009C6F74">
        <w:rPr>
          <w:rFonts w:ascii="Arial" w:hAnsi="Arial" w:cs="Arial"/>
          <w:sz w:val="22"/>
          <w:szCs w:val="22"/>
        </w:rPr>
        <w:t>quart</w:t>
      </w:r>
      <w:r>
        <w:rPr>
          <w:rFonts w:ascii="Arial" w:hAnsi="Arial" w:cs="Arial"/>
          <w:sz w:val="22"/>
          <w:szCs w:val="22"/>
        </w:rPr>
        <w:t>er</w:t>
      </w:r>
      <w:r w:rsidR="00A0625D">
        <w:rPr>
          <w:rFonts w:ascii="Arial" w:hAnsi="Arial" w:cs="Arial"/>
          <w:sz w:val="22"/>
          <w:szCs w:val="22"/>
        </w:rPr>
        <w:t>/month</w:t>
      </w:r>
      <w:r w:rsidR="00B0488C">
        <w:rPr>
          <w:rFonts w:ascii="Arial" w:hAnsi="Arial" w:cs="Arial"/>
          <w:sz w:val="22"/>
          <w:szCs w:val="22"/>
        </w:rPr>
        <w:t>/year</w:t>
      </w:r>
      <w:r>
        <w:rPr>
          <w:rFonts w:ascii="Arial" w:hAnsi="Arial" w:cs="Arial"/>
          <w:sz w:val="22"/>
          <w:szCs w:val="22"/>
        </w:rPr>
        <w:t xml:space="preserve"> end</w:t>
      </w:r>
      <w:r w:rsidR="00B0488C">
        <w:rPr>
          <w:rFonts w:ascii="Arial" w:hAnsi="Arial" w:cs="Arial"/>
          <w:sz w:val="22"/>
          <w:szCs w:val="22"/>
        </w:rPr>
        <w:t>.</w:t>
      </w:r>
    </w:p>
    <w:p w14:paraId="7808A11E" w14:textId="77777777" w:rsidR="00B0488C" w:rsidRDefault="00B0488C" w:rsidP="00F6153B">
      <w:pPr>
        <w:rPr>
          <w:rFonts w:ascii="Arial" w:hAnsi="Arial" w:cs="Arial"/>
          <w:sz w:val="22"/>
          <w:szCs w:val="22"/>
        </w:rPr>
      </w:pPr>
    </w:p>
    <w:p w14:paraId="7E19E1F3" w14:textId="77777777" w:rsidR="00F6153B" w:rsidRDefault="00F6153B" w:rsidP="00F6153B">
      <w:pPr>
        <w:rPr>
          <w:rFonts w:ascii="Arial" w:hAnsi="Arial" w:cs="Arial"/>
          <w:sz w:val="22"/>
          <w:szCs w:val="22"/>
        </w:rPr>
      </w:pPr>
      <w:r>
        <w:rPr>
          <w:rFonts w:ascii="Arial" w:hAnsi="Arial" w:cs="Arial"/>
          <w:sz w:val="22"/>
          <w:szCs w:val="22"/>
        </w:rPr>
        <w:t xml:space="preserve">Rebate statements and payments are issued before the </w:t>
      </w:r>
      <w:r w:rsidRPr="009C6F74">
        <w:rPr>
          <w:rFonts w:ascii="Arial" w:hAnsi="Arial" w:cs="Arial"/>
          <w:sz w:val="22"/>
          <w:szCs w:val="22"/>
        </w:rPr>
        <w:t>end of the month following the quarter</w:t>
      </w:r>
      <w:r w:rsidR="00A0625D">
        <w:rPr>
          <w:rFonts w:ascii="Arial" w:hAnsi="Arial" w:cs="Arial"/>
          <w:sz w:val="22"/>
          <w:szCs w:val="22"/>
        </w:rPr>
        <w:t>/month</w:t>
      </w:r>
      <w:r w:rsidR="00B0488C">
        <w:rPr>
          <w:rFonts w:ascii="Arial" w:hAnsi="Arial" w:cs="Arial"/>
          <w:sz w:val="22"/>
          <w:szCs w:val="22"/>
        </w:rPr>
        <w:t>/year</w:t>
      </w:r>
      <w:r w:rsidRPr="009C6F74">
        <w:rPr>
          <w:rFonts w:ascii="Arial" w:hAnsi="Arial" w:cs="Arial"/>
          <w:sz w:val="22"/>
          <w:szCs w:val="22"/>
        </w:rPr>
        <w:t xml:space="preserve"> end.</w:t>
      </w:r>
      <w:r>
        <w:rPr>
          <w:rFonts w:ascii="Arial" w:hAnsi="Arial" w:cs="Arial"/>
          <w:sz w:val="22"/>
          <w:szCs w:val="22"/>
        </w:rPr>
        <w:t xml:space="preserve"> </w:t>
      </w:r>
    </w:p>
    <w:p w14:paraId="41FE1067" w14:textId="77777777" w:rsidR="00B0488C" w:rsidRDefault="00B0488C" w:rsidP="00F6153B">
      <w:pPr>
        <w:rPr>
          <w:rFonts w:ascii="Arial" w:hAnsi="Arial" w:cs="Arial"/>
          <w:sz w:val="22"/>
          <w:szCs w:val="22"/>
        </w:rPr>
      </w:pPr>
    </w:p>
    <w:p w14:paraId="4AC81343" w14:textId="77777777" w:rsidR="00B0488C" w:rsidRDefault="00B0488C" w:rsidP="00F6153B">
      <w:pPr>
        <w:rPr>
          <w:rFonts w:ascii="Arial" w:hAnsi="Arial" w:cs="Arial"/>
          <w:sz w:val="22"/>
          <w:szCs w:val="22"/>
        </w:rPr>
      </w:pPr>
      <w:r>
        <w:rPr>
          <w:rFonts w:ascii="Arial" w:hAnsi="Arial" w:cs="Arial"/>
          <w:sz w:val="22"/>
          <w:szCs w:val="22"/>
        </w:rPr>
        <w:t xml:space="preserve">The normal timing for </w:t>
      </w:r>
      <w:r w:rsidRPr="001402A7">
        <w:rPr>
          <w:rFonts w:ascii="Arial" w:hAnsi="Arial" w:cs="Arial"/>
          <w:sz w:val="22"/>
          <w:szCs w:val="22"/>
          <w:u w:val="single"/>
        </w:rPr>
        <w:t>quarterly</w:t>
      </w:r>
      <w:r w:rsidR="001402A7">
        <w:rPr>
          <w:rFonts w:ascii="Arial" w:hAnsi="Arial" w:cs="Arial"/>
          <w:sz w:val="22"/>
          <w:szCs w:val="22"/>
          <w:u w:val="single"/>
        </w:rPr>
        <w:t>/monthly/yearly</w:t>
      </w:r>
      <w:r>
        <w:rPr>
          <w:rFonts w:ascii="Arial" w:hAnsi="Arial" w:cs="Arial"/>
          <w:sz w:val="22"/>
          <w:szCs w:val="22"/>
        </w:rPr>
        <w:t xml:space="preserve"> paid clients is: around the 25</w:t>
      </w:r>
      <w:r w:rsidRPr="00B0488C">
        <w:rPr>
          <w:rFonts w:ascii="Arial" w:hAnsi="Arial" w:cs="Arial"/>
          <w:sz w:val="22"/>
          <w:szCs w:val="22"/>
          <w:vertAlign w:val="superscript"/>
        </w:rPr>
        <w:t>th</w:t>
      </w:r>
      <w:r>
        <w:rPr>
          <w:rFonts w:ascii="Arial" w:hAnsi="Arial" w:cs="Arial"/>
          <w:sz w:val="22"/>
          <w:szCs w:val="22"/>
        </w:rPr>
        <w:t>/27</w:t>
      </w:r>
      <w:r w:rsidRPr="00B0488C">
        <w:rPr>
          <w:rFonts w:ascii="Arial" w:hAnsi="Arial" w:cs="Arial"/>
          <w:sz w:val="22"/>
          <w:szCs w:val="22"/>
          <w:vertAlign w:val="superscript"/>
        </w:rPr>
        <w:t>th</w:t>
      </w:r>
      <w:r>
        <w:rPr>
          <w:rFonts w:ascii="Arial" w:hAnsi="Arial" w:cs="Arial"/>
          <w:sz w:val="22"/>
          <w:szCs w:val="22"/>
        </w:rPr>
        <w:t xml:space="preserve"> of</w:t>
      </w:r>
      <w:r w:rsidR="001402A7">
        <w:rPr>
          <w:rFonts w:ascii="Arial" w:hAnsi="Arial" w:cs="Arial"/>
          <w:sz w:val="22"/>
          <w:szCs w:val="22"/>
        </w:rPr>
        <w:t xml:space="preserve"> the month after quarter</w:t>
      </w:r>
      <w:r w:rsidR="00BA3604">
        <w:rPr>
          <w:rFonts w:ascii="Arial" w:hAnsi="Arial" w:cs="Arial"/>
          <w:sz w:val="22"/>
          <w:szCs w:val="22"/>
        </w:rPr>
        <w:t>/month/year</w:t>
      </w:r>
      <w:r w:rsidR="001402A7">
        <w:rPr>
          <w:rFonts w:ascii="Arial" w:hAnsi="Arial" w:cs="Arial"/>
          <w:sz w:val="22"/>
          <w:szCs w:val="22"/>
        </w:rPr>
        <w:t xml:space="preserve"> end. With our agreement we can issue</w:t>
      </w:r>
      <w:r>
        <w:rPr>
          <w:rFonts w:ascii="Arial" w:hAnsi="Arial" w:cs="Arial"/>
          <w:sz w:val="22"/>
          <w:szCs w:val="22"/>
        </w:rPr>
        <w:t xml:space="preserve"> some exceptional payments before that date (around the 15</w:t>
      </w:r>
      <w:r w:rsidRPr="00B0488C">
        <w:rPr>
          <w:rFonts w:ascii="Arial" w:hAnsi="Arial" w:cs="Arial"/>
          <w:sz w:val="22"/>
          <w:szCs w:val="22"/>
          <w:vertAlign w:val="superscript"/>
        </w:rPr>
        <w:t>th</w:t>
      </w:r>
      <w:r>
        <w:rPr>
          <w:rFonts w:ascii="Arial" w:hAnsi="Arial" w:cs="Arial"/>
          <w:sz w:val="22"/>
          <w:szCs w:val="22"/>
        </w:rPr>
        <w:t xml:space="preserve"> and 20</w:t>
      </w:r>
      <w:r w:rsidRPr="00B0488C">
        <w:rPr>
          <w:rFonts w:ascii="Arial" w:hAnsi="Arial" w:cs="Arial"/>
          <w:sz w:val="22"/>
          <w:szCs w:val="22"/>
          <w:vertAlign w:val="superscript"/>
        </w:rPr>
        <w:t>th</w:t>
      </w:r>
      <w:r>
        <w:rPr>
          <w:rFonts w:ascii="Arial" w:hAnsi="Arial" w:cs="Arial"/>
          <w:sz w:val="22"/>
          <w:szCs w:val="22"/>
        </w:rPr>
        <w:t xml:space="preserve"> )</w:t>
      </w:r>
    </w:p>
    <w:p w14:paraId="7897D4FE" w14:textId="77777777" w:rsidR="001402A7" w:rsidRDefault="001402A7" w:rsidP="00F6153B">
      <w:pPr>
        <w:rPr>
          <w:rFonts w:ascii="Arial" w:hAnsi="Arial" w:cs="Arial"/>
          <w:sz w:val="22"/>
          <w:szCs w:val="22"/>
        </w:rPr>
      </w:pPr>
    </w:p>
    <w:p w14:paraId="73D30470" w14:textId="77777777" w:rsidR="008B023F" w:rsidRDefault="008B023F" w:rsidP="0023281C">
      <w:pPr>
        <w:rPr>
          <w:rFonts w:ascii="Arial" w:hAnsi="Arial" w:cs="Arial"/>
          <w:sz w:val="22"/>
          <w:szCs w:val="22"/>
        </w:rPr>
      </w:pPr>
    </w:p>
    <w:p w14:paraId="015E39BF" w14:textId="77777777" w:rsidR="00BA3604" w:rsidRDefault="00BA3604" w:rsidP="0023281C">
      <w:pPr>
        <w:rPr>
          <w:rFonts w:ascii="Arial" w:hAnsi="Arial" w:cs="Arial"/>
          <w:sz w:val="22"/>
          <w:szCs w:val="22"/>
        </w:rPr>
      </w:pPr>
      <w:r>
        <w:rPr>
          <w:rFonts w:ascii="Arial" w:hAnsi="Arial" w:cs="Arial"/>
          <w:sz w:val="22"/>
          <w:szCs w:val="22"/>
        </w:rPr>
        <w:t>In case of invoices</w:t>
      </w:r>
      <w:r w:rsidR="00131754">
        <w:rPr>
          <w:rFonts w:ascii="Arial" w:hAnsi="Arial" w:cs="Arial"/>
          <w:sz w:val="22"/>
          <w:szCs w:val="22"/>
        </w:rPr>
        <w:t>,</w:t>
      </w:r>
      <w:r>
        <w:rPr>
          <w:rFonts w:ascii="Arial" w:hAnsi="Arial" w:cs="Arial"/>
          <w:sz w:val="22"/>
          <w:szCs w:val="22"/>
        </w:rPr>
        <w:t xml:space="preserve"> none domestic or depositary accounts the calculation and rebates payment may defer, or be delay from a month to another, depending on the invoice or holding statement reception. Automatic calculations and domestic accounts are our priority during the first month following quarter/month/year end. Other calculations are done during the 2</w:t>
      </w:r>
      <w:r w:rsidRPr="00BA3604">
        <w:rPr>
          <w:rFonts w:ascii="Arial" w:hAnsi="Arial" w:cs="Arial"/>
          <w:sz w:val="22"/>
          <w:szCs w:val="22"/>
          <w:vertAlign w:val="superscript"/>
        </w:rPr>
        <w:t>nd</w:t>
      </w:r>
      <w:r>
        <w:rPr>
          <w:rFonts w:ascii="Arial" w:hAnsi="Arial" w:cs="Arial"/>
          <w:sz w:val="22"/>
          <w:szCs w:val="22"/>
        </w:rPr>
        <w:t xml:space="preserve"> and 3</w:t>
      </w:r>
      <w:r w:rsidRPr="00BA3604">
        <w:rPr>
          <w:rFonts w:ascii="Arial" w:hAnsi="Arial" w:cs="Arial"/>
          <w:sz w:val="22"/>
          <w:szCs w:val="22"/>
          <w:vertAlign w:val="superscript"/>
        </w:rPr>
        <w:t>rd</w:t>
      </w:r>
      <w:r>
        <w:rPr>
          <w:rFonts w:ascii="Arial" w:hAnsi="Arial" w:cs="Arial"/>
          <w:sz w:val="22"/>
          <w:szCs w:val="22"/>
        </w:rPr>
        <w:t xml:space="preserve"> month. </w:t>
      </w:r>
    </w:p>
    <w:p w14:paraId="16DA0E02" w14:textId="77777777" w:rsidR="00BA3604" w:rsidRDefault="00BA3604" w:rsidP="0023281C">
      <w:pPr>
        <w:rPr>
          <w:rFonts w:ascii="Arial" w:hAnsi="Arial" w:cs="Arial"/>
          <w:sz w:val="22"/>
          <w:szCs w:val="22"/>
        </w:rPr>
      </w:pPr>
    </w:p>
    <w:p w14:paraId="4658305A" w14:textId="77777777" w:rsidR="00BA3604" w:rsidRDefault="00BA3604" w:rsidP="0023281C">
      <w:pPr>
        <w:rPr>
          <w:rFonts w:ascii="Arial" w:hAnsi="Arial" w:cs="Arial"/>
          <w:sz w:val="22"/>
          <w:szCs w:val="22"/>
        </w:rPr>
      </w:pPr>
    </w:p>
    <w:p w14:paraId="4043D8EE" w14:textId="77777777" w:rsidR="00F6153B" w:rsidRPr="00F6153B" w:rsidRDefault="00F6153B" w:rsidP="0023281C">
      <w:pPr>
        <w:rPr>
          <w:rFonts w:ascii="Arial" w:hAnsi="Arial" w:cs="Arial"/>
          <w:sz w:val="22"/>
          <w:szCs w:val="22"/>
          <w:u w:val="single"/>
        </w:rPr>
      </w:pPr>
      <w:r w:rsidRPr="00F6153B">
        <w:rPr>
          <w:rFonts w:ascii="Arial" w:hAnsi="Arial" w:cs="Arial"/>
          <w:sz w:val="22"/>
          <w:szCs w:val="22"/>
          <w:u w:val="single"/>
        </w:rPr>
        <w:t>Rebate Statements</w:t>
      </w:r>
    </w:p>
    <w:p w14:paraId="05E5F7BC" w14:textId="77777777" w:rsidR="0023281C" w:rsidRDefault="0023281C" w:rsidP="0023281C">
      <w:pPr>
        <w:rPr>
          <w:rFonts w:ascii="Arial" w:hAnsi="Arial" w:cs="Arial"/>
          <w:sz w:val="22"/>
          <w:szCs w:val="22"/>
        </w:rPr>
      </w:pPr>
    </w:p>
    <w:p w14:paraId="625D8F88" w14:textId="77777777" w:rsidR="0023281C" w:rsidRDefault="0023281C" w:rsidP="00076284">
      <w:pPr>
        <w:numPr>
          <w:ilvl w:val="0"/>
          <w:numId w:val="27"/>
        </w:numPr>
        <w:rPr>
          <w:rFonts w:ascii="Arial" w:hAnsi="Arial" w:cs="Arial"/>
          <w:sz w:val="22"/>
          <w:szCs w:val="22"/>
        </w:rPr>
      </w:pPr>
      <w:r w:rsidRPr="00476F24">
        <w:rPr>
          <w:rFonts w:ascii="Arial" w:hAnsi="Arial" w:cs="Arial"/>
          <w:sz w:val="22"/>
          <w:szCs w:val="22"/>
        </w:rPr>
        <w:t>The statement</w:t>
      </w:r>
      <w:r>
        <w:rPr>
          <w:rFonts w:ascii="Arial" w:hAnsi="Arial" w:cs="Arial"/>
          <w:sz w:val="22"/>
          <w:szCs w:val="22"/>
        </w:rPr>
        <w:t>s</w:t>
      </w:r>
      <w:r w:rsidRPr="00476F24">
        <w:rPr>
          <w:rFonts w:ascii="Arial" w:hAnsi="Arial" w:cs="Arial"/>
          <w:sz w:val="22"/>
          <w:szCs w:val="22"/>
        </w:rPr>
        <w:t xml:space="preserve"> </w:t>
      </w:r>
      <w:r>
        <w:rPr>
          <w:rFonts w:ascii="Arial" w:hAnsi="Arial" w:cs="Arial"/>
          <w:sz w:val="22"/>
          <w:szCs w:val="22"/>
        </w:rPr>
        <w:t xml:space="preserve">(in PDF format) </w:t>
      </w:r>
      <w:r w:rsidRPr="00476F24">
        <w:rPr>
          <w:rFonts w:ascii="Arial" w:hAnsi="Arial" w:cs="Arial"/>
          <w:sz w:val="22"/>
          <w:szCs w:val="22"/>
        </w:rPr>
        <w:t xml:space="preserve">detailing the </w:t>
      </w:r>
      <w:r w:rsidR="00D034ED">
        <w:rPr>
          <w:rFonts w:ascii="Arial" w:hAnsi="Arial" w:cs="Arial"/>
          <w:sz w:val="22"/>
          <w:szCs w:val="22"/>
        </w:rPr>
        <w:t>Rebates</w:t>
      </w:r>
      <w:r w:rsidRPr="00476F24">
        <w:rPr>
          <w:rFonts w:ascii="Arial" w:hAnsi="Arial" w:cs="Arial"/>
          <w:sz w:val="22"/>
          <w:szCs w:val="22"/>
        </w:rPr>
        <w:t xml:space="preserve"> to be paid can be sent by post</w:t>
      </w:r>
      <w:r>
        <w:rPr>
          <w:rFonts w:ascii="Arial" w:hAnsi="Arial" w:cs="Arial"/>
          <w:sz w:val="22"/>
          <w:szCs w:val="22"/>
        </w:rPr>
        <w:t xml:space="preserve"> </w:t>
      </w:r>
      <w:r w:rsidRPr="00476F24">
        <w:rPr>
          <w:rFonts w:ascii="Arial" w:hAnsi="Arial" w:cs="Arial"/>
          <w:sz w:val="22"/>
          <w:szCs w:val="22"/>
        </w:rPr>
        <w:t>or by e-mail</w:t>
      </w:r>
      <w:r>
        <w:rPr>
          <w:rFonts w:ascii="Arial" w:hAnsi="Arial" w:cs="Arial"/>
          <w:sz w:val="22"/>
          <w:szCs w:val="22"/>
        </w:rPr>
        <w:t xml:space="preserve"> </w:t>
      </w:r>
      <w:r w:rsidRPr="00476F24">
        <w:rPr>
          <w:rFonts w:ascii="Arial" w:hAnsi="Arial" w:cs="Arial"/>
          <w:sz w:val="22"/>
          <w:szCs w:val="22"/>
        </w:rPr>
        <w:t xml:space="preserve">depending on the </w:t>
      </w:r>
      <w:r>
        <w:rPr>
          <w:rFonts w:ascii="Arial" w:hAnsi="Arial" w:cs="Arial"/>
          <w:sz w:val="22"/>
          <w:szCs w:val="22"/>
        </w:rPr>
        <w:t>D</w:t>
      </w:r>
      <w:r w:rsidRPr="00476F24">
        <w:rPr>
          <w:rFonts w:ascii="Arial" w:hAnsi="Arial" w:cs="Arial"/>
          <w:sz w:val="22"/>
          <w:szCs w:val="22"/>
        </w:rPr>
        <w:t xml:space="preserve">istributor’s </w:t>
      </w:r>
      <w:r>
        <w:rPr>
          <w:rFonts w:ascii="Arial" w:hAnsi="Arial" w:cs="Arial"/>
          <w:sz w:val="22"/>
          <w:szCs w:val="22"/>
        </w:rPr>
        <w:t>preference</w:t>
      </w:r>
      <w:r w:rsidRPr="00476F24">
        <w:rPr>
          <w:rFonts w:ascii="Arial" w:hAnsi="Arial" w:cs="Arial"/>
          <w:sz w:val="22"/>
          <w:szCs w:val="22"/>
        </w:rPr>
        <w:t>.</w:t>
      </w:r>
      <w:r>
        <w:rPr>
          <w:rFonts w:ascii="Arial" w:hAnsi="Arial" w:cs="Arial"/>
          <w:sz w:val="22"/>
          <w:szCs w:val="22"/>
        </w:rPr>
        <w:t xml:space="preserve"> </w:t>
      </w:r>
    </w:p>
    <w:p w14:paraId="3A584300" w14:textId="77777777" w:rsidR="00E83EF0" w:rsidRDefault="00E83EF0" w:rsidP="00E83EF0">
      <w:pPr>
        <w:rPr>
          <w:rFonts w:ascii="Arial" w:hAnsi="Arial" w:cs="Arial"/>
          <w:sz w:val="22"/>
          <w:szCs w:val="22"/>
        </w:rPr>
      </w:pPr>
    </w:p>
    <w:p w14:paraId="670F34BC" w14:textId="77777777" w:rsidR="00E83EF0" w:rsidRDefault="00E83EF0" w:rsidP="00076284">
      <w:pPr>
        <w:numPr>
          <w:ilvl w:val="0"/>
          <w:numId w:val="27"/>
        </w:numPr>
        <w:rPr>
          <w:rFonts w:ascii="Arial" w:hAnsi="Arial" w:cs="Arial"/>
          <w:sz w:val="22"/>
          <w:szCs w:val="22"/>
        </w:rPr>
      </w:pPr>
      <w:r>
        <w:rPr>
          <w:rFonts w:ascii="Arial" w:hAnsi="Arial" w:cs="Arial"/>
          <w:sz w:val="22"/>
          <w:szCs w:val="22"/>
        </w:rPr>
        <w:t xml:space="preserve">The e-mail or the address is logged for each agent and a summary of these details can be sent to the sales offices if required. </w:t>
      </w:r>
    </w:p>
    <w:p w14:paraId="4D66F30D" w14:textId="77777777" w:rsidR="00F6153B" w:rsidRDefault="00F6153B" w:rsidP="00F6153B">
      <w:pPr>
        <w:rPr>
          <w:rFonts w:ascii="Arial" w:hAnsi="Arial" w:cs="Arial"/>
          <w:sz w:val="22"/>
          <w:szCs w:val="22"/>
        </w:rPr>
      </w:pPr>
    </w:p>
    <w:p w14:paraId="01872300" w14:textId="77777777" w:rsidR="00131754" w:rsidRDefault="00F6153B" w:rsidP="00076284">
      <w:pPr>
        <w:numPr>
          <w:ilvl w:val="0"/>
          <w:numId w:val="27"/>
        </w:numPr>
        <w:rPr>
          <w:rFonts w:ascii="Arial" w:hAnsi="Arial" w:cs="Arial"/>
          <w:sz w:val="22"/>
          <w:szCs w:val="22"/>
        </w:rPr>
      </w:pPr>
      <w:r>
        <w:rPr>
          <w:rFonts w:ascii="Arial" w:hAnsi="Arial" w:cs="Arial"/>
          <w:sz w:val="22"/>
          <w:szCs w:val="22"/>
        </w:rPr>
        <w:t>Statements are produced at Distributor</w:t>
      </w:r>
      <w:r w:rsidR="008B023F">
        <w:rPr>
          <w:rFonts w:ascii="Arial" w:hAnsi="Arial" w:cs="Arial"/>
          <w:sz w:val="22"/>
          <w:szCs w:val="22"/>
        </w:rPr>
        <w:t xml:space="preserve">/individual </w:t>
      </w:r>
      <w:r w:rsidR="00A0625D">
        <w:rPr>
          <w:rFonts w:ascii="Arial" w:hAnsi="Arial" w:cs="Arial"/>
          <w:sz w:val="22"/>
          <w:szCs w:val="22"/>
        </w:rPr>
        <w:t>Client</w:t>
      </w:r>
      <w:r w:rsidR="008B023F">
        <w:rPr>
          <w:rFonts w:ascii="Arial" w:hAnsi="Arial" w:cs="Arial"/>
          <w:sz w:val="22"/>
          <w:szCs w:val="22"/>
        </w:rPr>
        <w:t xml:space="preserve"> </w:t>
      </w:r>
      <w:r w:rsidR="00131754">
        <w:rPr>
          <w:rFonts w:ascii="Arial" w:hAnsi="Arial" w:cs="Arial"/>
          <w:sz w:val="22"/>
          <w:szCs w:val="22"/>
        </w:rPr>
        <w:t xml:space="preserve">level. </w:t>
      </w:r>
    </w:p>
    <w:p w14:paraId="38567258" w14:textId="77777777" w:rsidR="00131754" w:rsidRDefault="00131754" w:rsidP="00131754">
      <w:pPr>
        <w:pStyle w:val="ListParagraph"/>
        <w:rPr>
          <w:rFonts w:ascii="Arial" w:hAnsi="Arial" w:cs="Arial"/>
          <w:sz w:val="22"/>
          <w:szCs w:val="22"/>
        </w:rPr>
      </w:pPr>
    </w:p>
    <w:p w14:paraId="676D6E69" w14:textId="77777777" w:rsidR="00F6153B" w:rsidRDefault="00131754" w:rsidP="00076284">
      <w:pPr>
        <w:numPr>
          <w:ilvl w:val="0"/>
          <w:numId w:val="27"/>
        </w:numPr>
        <w:rPr>
          <w:rFonts w:ascii="Arial" w:hAnsi="Arial" w:cs="Arial"/>
          <w:sz w:val="22"/>
          <w:szCs w:val="22"/>
        </w:rPr>
      </w:pPr>
      <w:r>
        <w:rPr>
          <w:rFonts w:ascii="Arial" w:hAnsi="Arial" w:cs="Arial"/>
          <w:sz w:val="22"/>
          <w:szCs w:val="22"/>
        </w:rPr>
        <w:t>Payment client Statement: In case of big group with a single payment (payment client) a single statement can be provide with all underlying clients and their rebate amount.</w:t>
      </w:r>
    </w:p>
    <w:p w14:paraId="6C31B2A5" w14:textId="77777777" w:rsidR="00F6153B" w:rsidRDefault="00F6153B" w:rsidP="00F6153B">
      <w:pPr>
        <w:rPr>
          <w:rFonts w:ascii="Arial" w:hAnsi="Arial" w:cs="Arial"/>
          <w:sz w:val="22"/>
          <w:szCs w:val="22"/>
        </w:rPr>
      </w:pPr>
    </w:p>
    <w:p w14:paraId="499F517C" w14:textId="77777777" w:rsidR="00F6153B" w:rsidRDefault="008B023F" w:rsidP="00076284">
      <w:pPr>
        <w:numPr>
          <w:ilvl w:val="0"/>
          <w:numId w:val="27"/>
        </w:numPr>
        <w:rPr>
          <w:rFonts w:ascii="Arial" w:hAnsi="Arial" w:cs="Arial"/>
          <w:sz w:val="22"/>
          <w:szCs w:val="22"/>
        </w:rPr>
      </w:pPr>
      <w:r>
        <w:rPr>
          <w:rFonts w:ascii="Arial" w:hAnsi="Arial" w:cs="Arial"/>
          <w:sz w:val="22"/>
          <w:szCs w:val="22"/>
        </w:rPr>
        <w:t xml:space="preserve">Statements are produced in the currency of payment. </w:t>
      </w:r>
    </w:p>
    <w:p w14:paraId="0005F178" w14:textId="77777777" w:rsidR="00641FF8" w:rsidRDefault="00641FF8" w:rsidP="00641FF8">
      <w:pPr>
        <w:rPr>
          <w:rFonts w:ascii="Arial" w:hAnsi="Arial" w:cs="Arial"/>
          <w:sz w:val="22"/>
          <w:szCs w:val="22"/>
        </w:rPr>
      </w:pPr>
    </w:p>
    <w:p w14:paraId="7F0D3FE3" w14:textId="77777777" w:rsidR="00641FF8" w:rsidRDefault="00641FF8" w:rsidP="00076284">
      <w:pPr>
        <w:numPr>
          <w:ilvl w:val="0"/>
          <w:numId w:val="27"/>
        </w:numPr>
        <w:rPr>
          <w:rFonts w:ascii="Arial" w:hAnsi="Arial" w:cs="Arial"/>
          <w:sz w:val="22"/>
          <w:szCs w:val="22"/>
        </w:rPr>
      </w:pPr>
      <w:r>
        <w:rPr>
          <w:rFonts w:ascii="Arial" w:hAnsi="Arial" w:cs="Arial"/>
          <w:sz w:val="22"/>
          <w:szCs w:val="22"/>
        </w:rPr>
        <w:t>A daily calc</w:t>
      </w:r>
      <w:r w:rsidR="00131754">
        <w:rPr>
          <w:rFonts w:ascii="Arial" w:hAnsi="Arial" w:cs="Arial"/>
          <w:sz w:val="22"/>
          <w:szCs w:val="22"/>
        </w:rPr>
        <w:t>ulation Excel report can be sent</w:t>
      </w:r>
      <w:r>
        <w:rPr>
          <w:rFonts w:ascii="Arial" w:hAnsi="Arial" w:cs="Arial"/>
          <w:sz w:val="22"/>
          <w:szCs w:val="22"/>
        </w:rPr>
        <w:t xml:space="preserve"> upon request. Th</w:t>
      </w:r>
      <w:r w:rsidR="00131754">
        <w:rPr>
          <w:rFonts w:ascii="Arial" w:hAnsi="Arial" w:cs="Arial"/>
          <w:sz w:val="22"/>
          <w:szCs w:val="22"/>
        </w:rPr>
        <w:t>is report is not sent</w:t>
      </w:r>
      <w:r>
        <w:rPr>
          <w:rFonts w:ascii="Arial" w:hAnsi="Arial" w:cs="Arial"/>
          <w:sz w:val="22"/>
          <w:szCs w:val="22"/>
        </w:rPr>
        <w:t xml:space="preserve"> automatically to clients.</w:t>
      </w:r>
    </w:p>
    <w:p w14:paraId="3A58E99E" w14:textId="77777777" w:rsidR="008B023F" w:rsidRDefault="008B023F" w:rsidP="008B023F">
      <w:pPr>
        <w:rPr>
          <w:rFonts w:ascii="Arial" w:hAnsi="Arial" w:cs="Arial"/>
          <w:sz w:val="22"/>
          <w:szCs w:val="22"/>
        </w:rPr>
      </w:pPr>
    </w:p>
    <w:p w14:paraId="0007274C" w14:textId="77777777" w:rsidR="00F6153B" w:rsidRDefault="00F6153B" w:rsidP="0023281C">
      <w:pPr>
        <w:rPr>
          <w:rFonts w:ascii="Arial" w:hAnsi="Arial" w:cs="Arial"/>
          <w:sz w:val="22"/>
          <w:szCs w:val="22"/>
        </w:rPr>
      </w:pPr>
    </w:p>
    <w:p w14:paraId="2D7B3A5E" w14:textId="77777777" w:rsidR="00F6153B" w:rsidRPr="00F6153B" w:rsidRDefault="00F6153B" w:rsidP="0023281C">
      <w:pPr>
        <w:rPr>
          <w:rFonts w:ascii="Arial" w:hAnsi="Arial" w:cs="Arial"/>
          <w:sz w:val="22"/>
          <w:szCs w:val="22"/>
          <w:u w:val="single"/>
        </w:rPr>
      </w:pPr>
      <w:r w:rsidRPr="00F6153B">
        <w:rPr>
          <w:rFonts w:ascii="Arial" w:hAnsi="Arial" w:cs="Arial"/>
          <w:sz w:val="22"/>
          <w:szCs w:val="22"/>
          <w:u w:val="single"/>
        </w:rPr>
        <w:t>Rebate Payment</w:t>
      </w:r>
      <w:r>
        <w:rPr>
          <w:rFonts w:ascii="Arial" w:hAnsi="Arial" w:cs="Arial"/>
          <w:sz w:val="22"/>
          <w:szCs w:val="22"/>
          <w:u w:val="single"/>
        </w:rPr>
        <w:t>s</w:t>
      </w:r>
    </w:p>
    <w:p w14:paraId="6B7B04FC" w14:textId="77777777" w:rsidR="00F6153B" w:rsidRDefault="00F6153B" w:rsidP="0023281C">
      <w:pPr>
        <w:rPr>
          <w:rFonts w:ascii="Arial" w:hAnsi="Arial" w:cs="Arial"/>
          <w:sz w:val="22"/>
          <w:szCs w:val="22"/>
        </w:rPr>
      </w:pPr>
    </w:p>
    <w:p w14:paraId="697B210B" w14:textId="77777777" w:rsidR="008B023F" w:rsidRDefault="008B023F" w:rsidP="00076284">
      <w:pPr>
        <w:numPr>
          <w:ilvl w:val="0"/>
          <w:numId w:val="28"/>
        </w:numPr>
        <w:ind w:left="360"/>
        <w:rPr>
          <w:rFonts w:ascii="Arial" w:hAnsi="Arial" w:cs="Arial"/>
          <w:sz w:val="22"/>
          <w:szCs w:val="22"/>
        </w:rPr>
      </w:pPr>
      <w:r w:rsidRPr="008A0546">
        <w:rPr>
          <w:rFonts w:ascii="Arial" w:hAnsi="Arial" w:cs="Arial"/>
          <w:sz w:val="22"/>
          <w:szCs w:val="22"/>
        </w:rPr>
        <w:t xml:space="preserve">Bank details are provided by the </w:t>
      </w:r>
      <w:r>
        <w:rPr>
          <w:rFonts w:ascii="Arial" w:hAnsi="Arial" w:cs="Arial"/>
          <w:sz w:val="22"/>
          <w:szCs w:val="22"/>
        </w:rPr>
        <w:t xml:space="preserve">Distributor </w:t>
      </w:r>
      <w:r w:rsidRPr="008A0546">
        <w:rPr>
          <w:rFonts w:ascii="Arial" w:hAnsi="Arial" w:cs="Arial"/>
          <w:sz w:val="22"/>
          <w:szCs w:val="22"/>
        </w:rPr>
        <w:t xml:space="preserve">when the </w:t>
      </w:r>
      <w:r>
        <w:rPr>
          <w:rFonts w:ascii="Arial" w:hAnsi="Arial" w:cs="Arial"/>
          <w:sz w:val="22"/>
          <w:szCs w:val="22"/>
        </w:rPr>
        <w:t xml:space="preserve">distribution agreement </w:t>
      </w:r>
      <w:r w:rsidRPr="008A0546">
        <w:rPr>
          <w:rFonts w:ascii="Arial" w:hAnsi="Arial" w:cs="Arial"/>
          <w:sz w:val="22"/>
          <w:szCs w:val="22"/>
        </w:rPr>
        <w:t xml:space="preserve">is signed. </w:t>
      </w:r>
    </w:p>
    <w:p w14:paraId="33AF999C" w14:textId="77777777" w:rsidR="008B023F" w:rsidRDefault="008B023F" w:rsidP="00076284">
      <w:pPr>
        <w:ind w:left="340" w:firstLine="360"/>
        <w:rPr>
          <w:rFonts w:ascii="Arial" w:hAnsi="Arial" w:cs="Arial"/>
          <w:sz w:val="22"/>
          <w:szCs w:val="22"/>
        </w:rPr>
      </w:pPr>
    </w:p>
    <w:p w14:paraId="72A4BDC0" w14:textId="77777777" w:rsidR="0044786E" w:rsidRDefault="008B023F" w:rsidP="00076284">
      <w:pPr>
        <w:numPr>
          <w:ilvl w:val="0"/>
          <w:numId w:val="28"/>
        </w:numPr>
        <w:ind w:left="360"/>
        <w:jc w:val="both"/>
        <w:rPr>
          <w:rFonts w:ascii="Arial" w:hAnsi="Arial" w:cs="Arial"/>
          <w:sz w:val="22"/>
          <w:szCs w:val="22"/>
        </w:rPr>
      </w:pPr>
      <w:r w:rsidRPr="008A0546">
        <w:rPr>
          <w:rFonts w:ascii="Arial" w:hAnsi="Arial" w:cs="Arial"/>
          <w:sz w:val="22"/>
          <w:szCs w:val="22"/>
        </w:rPr>
        <w:t xml:space="preserve">It is </w:t>
      </w:r>
      <w:r>
        <w:rPr>
          <w:rFonts w:ascii="Arial" w:hAnsi="Arial" w:cs="Arial"/>
          <w:sz w:val="22"/>
          <w:szCs w:val="22"/>
        </w:rPr>
        <w:t xml:space="preserve">vital </w:t>
      </w:r>
      <w:r w:rsidRPr="008A0546">
        <w:rPr>
          <w:rFonts w:ascii="Arial" w:hAnsi="Arial" w:cs="Arial"/>
          <w:sz w:val="22"/>
          <w:szCs w:val="22"/>
        </w:rPr>
        <w:t>that the bank details communicated contain the correct field and include all necessary fields (</w:t>
      </w:r>
      <w:r w:rsidR="00F97C64">
        <w:rPr>
          <w:rFonts w:ascii="Arial" w:hAnsi="Arial" w:cs="Arial"/>
          <w:sz w:val="22"/>
          <w:szCs w:val="22"/>
        </w:rPr>
        <w:t xml:space="preserve">e.g. </w:t>
      </w:r>
      <w:r w:rsidRPr="008A0546">
        <w:rPr>
          <w:rFonts w:ascii="Arial" w:hAnsi="Arial" w:cs="Arial"/>
          <w:sz w:val="22"/>
          <w:szCs w:val="22"/>
        </w:rPr>
        <w:t>IBAN code, country code</w:t>
      </w:r>
      <w:r w:rsidR="00F97C64">
        <w:rPr>
          <w:rFonts w:ascii="Arial" w:hAnsi="Arial" w:cs="Arial"/>
          <w:sz w:val="22"/>
          <w:szCs w:val="22"/>
        </w:rPr>
        <w:t xml:space="preserve">, </w:t>
      </w:r>
      <w:r w:rsidRPr="008A0546">
        <w:rPr>
          <w:rFonts w:ascii="Arial" w:hAnsi="Arial" w:cs="Arial"/>
          <w:sz w:val="22"/>
          <w:szCs w:val="22"/>
        </w:rPr>
        <w:t xml:space="preserve">SWIFT, SORT CODE </w:t>
      </w:r>
      <w:r w:rsidR="00F97C64">
        <w:rPr>
          <w:rFonts w:ascii="Arial" w:hAnsi="Arial" w:cs="Arial"/>
          <w:sz w:val="22"/>
          <w:szCs w:val="22"/>
        </w:rPr>
        <w:t>(</w:t>
      </w:r>
      <w:r w:rsidRPr="008A0546">
        <w:rPr>
          <w:rFonts w:ascii="Arial" w:hAnsi="Arial" w:cs="Arial"/>
          <w:sz w:val="22"/>
          <w:szCs w:val="22"/>
        </w:rPr>
        <w:t>for UK</w:t>
      </w:r>
      <w:r w:rsidR="00F97C64">
        <w:rPr>
          <w:rFonts w:ascii="Arial" w:hAnsi="Arial" w:cs="Arial"/>
          <w:sz w:val="22"/>
          <w:szCs w:val="22"/>
        </w:rPr>
        <w:t>)</w:t>
      </w:r>
      <w:r w:rsidRPr="008A0546">
        <w:rPr>
          <w:rFonts w:ascii="Arial" w:hAnsi="Arial" w:cs="Arial"/>
          <w:sz w:val="22"/>
          <w:szCs w:val="22"/>
        </w:rPr>
        <w:t xml:space="preserve">, BLZ </w:t>
      </w:r>
      <w:r w:rsidR="00F97C64">
        <w:rPr>
          <w:rFonts w:ascii="Arial" w:hAnsi="Arial" w:cs="Arial"/>
          <w:sz w:val="22"/>
          <w:szCs w:val="22"/>
        </w:rPr>
        <w:t>(</w:t>
      </w:r>
      <w:r w:rsidRPr="008A0546">
        <w:rPr>
          <w:rFonts w:ascii="Arial" w:hAnsi="Arial" w:cs="Arial"/>
          <w:sz w:val="22"/>
          <w:szCs w:val="22"/>
        </w:rPr>
        <w:t>for Germany and Austria</w:t>
      </w:r>
      <w:r w:rsidR="00F97C64">
        <w:rPr>
          <w:rFonts w:ascii="Arial" w:hAnsi="Arial" w:cs="Arial"/>
          <w:sz w:val="22"/>
          <w:szCs w:val="22"/>
        </w:rPr>
        <w:t>)</w:t>
      </w:r>
      <w:r w:rsidRPr="008A0546">
        <w:rPr>
          <w:rFonts w:ascii="Arial" w:hAnsi="Arial" w:cs="Arial"/>
          <w:sz w:val="22"/>
          <w:szCs w:val="22"/>
        </w:rPr>
        <w:t xml:space="preserve">, code guichet </w:t>
      </w:r>
      <w:r w:rsidR="00F97C64">
        <w:rPr>
          <w:rFonts w:ascii="Arial" w:hAnsi="Arial" w:cs="Arial"/>
          <w:sz w:val="22"/>
          <w:szCs w:val="22"/>
        </w:rPr>
        <w:t>(</w:t>
      </w:r>
      <w:r w:rsidRPr="008A0546">
        <w:rPr>
          <w:rFonts w:ascii="Arial" w:hAnsi="Arial" w:cs="Arial"/>
          <w:sz w:val="22"/>
          <w:szCs w:val="22"/>
        </w:rPr>
        <w:t>for France</w:t>
      </w:r>
      <w:r w:rsidR="00F97C64">
        <w:rPr>
          <w:rFonts w:ascii="Arial" w:hAnsi="Arial" w:cs="Arial"/>
          <w:sz w:val="22"/>
          <w:szCs w:val="22"/>
        </w:rPr>
        <w:t>)</w:t>
      </w:r>
      <w:r w:rsidRPr="008A0546">
        <w:rPr>
          <w:rFonts w:ascii="Arial" w:hAnsi="Arial" w:cs="Arial"/>
          <w:sz w:val="22"/>
          <w:szCs w:val="22"/>
        </w:rPr>
        <w:t xml:space="preserve"> bank account beneficiary holder name</w:t>
      </w:r>
      <w:r w:rsidR="00F97C64">
        <w:rPr>
          <w:rFonts w:ascii="Arial" w:hAnsi="Arial" w:cs="Arial"/>
          <w:sz w:val="22"/>
          <w:szCs w:val="22"/>
        </w:rPr>
        <w:t xml:space="preserve"> etc.)</w:t>
      </w:r>
      <w:r w:rsidRPr="008A0546">
        <w:rPr>
          <w:rFonts w:ascii="Arial" w:hAnsi="Arial" w:cs="Arial"/>
          <w:sz w:val="22"/>
          <w:szCs w:val="22"/>
        </w:rPr>
        <w:t xml:space="preserve"> </w:t>
      </w:r>
    </w:p>
    <w:p w14:paraId="351064EA" w14:textId="77777777" w:rsidR="0044786E" w:rsidRDefault="0044786E" w:rsidP="00076284">
      <w:pPr>
        <w:ind w:left="340"/>
        <w:jc w:val="both"/>
        <w:rPr>
          <w:rFonts w:ascii="Arial" w:hAnsi="Arial" w:cs="Arial"/>
          <w:sz w:val="22"/>
          <w:szCs w:val="22"/>
        </w:rPr>
      </w:pPr>
    </w:p>
    <w:p w14:paraId="50FC29B7" w14:textId="55187121" w:rsidR="008B023F" w:rsidRPr="00AB55D0" w:rsidRDefault="00AB55D0" w:rsidP="00AB55D0">
      <w:pPr>
        <w:numPr>
          <w:ilvl w:val="0"/>
          <w:numId w:val="28"/>
        </w:numPr>
        <w:ind w:left="360"/>
        <w:jc w:val="both"/>
        <w:rPr>
          <w:rFonts w:ascii="Arial" w:hAnsi="Arial" w:cs="Arial"/>
          <w:sz w:val="22"/>
          <w:szCs w:val="22"/>
        </w:rPr>
      </w:pPr>
      <w:r>
        <w:rPr>
          <w:rFonts w:ascii="Arial" w:hAnsi="Arial" w:cs="Arial"/>
          <w:sz w:val="22"/>
          <w:szCs w:val="22"/>
        </w:rPr>
        <w:t xml:space="preserve">The </w:t>
      </w:r>
      <w:r w:rsidR="0026021E">
        <w:rPr>
          <w:rFonts w:ascii="Arial" w:hAnsi="Arial" w:cs="Arial"/>
          <w:sz w:val="22"/>
          <w:szCs w:val="22"/>
        </w:rPr>
        <w:t xml:space="preserve">Rebates </w:t>
      </w:r>
      <w:r w:rsidR="00924CD0">
        <w:rPr>
          <w:rFonts w:ascii="Arial" w:hAnsi="Arial" w:cs="Arial"/>
          <w:sz w:val="22"/>
          <w:szCs w:val="22"/>
        </w:rPr>
        <w:t>O</w:t>
      </w:r>
      <w:r w:rsidR="0026021E">
        <w:rPr>
          <w:rFonts w:ascii="Arial" w:hAnsi="Arial" w:cs="Arial"/>
          <w:sz w:val="22"/>
          <w:szCs w:val="22"/>
        </w:rPr>
        <w:t xml:space="preserve">perations </w:t>
      </w:r>
      <w:r w:rsidR="00696EFF">
        <w:rPr>
          <w:rFonts w:ascii="Arial" w:hAnsi="Arial" w:cs="Arial"/>
          <w:sz w:val="22"/>
          <w:szCs w:val="22"/>
        </w:rPr>
        <w:t xml:space="preserve">and </w:t>
      </w:r>
      <w:r>
        <w:rPr>
          <w:rFonts w:ascii="Arial" w:hAnsi="Arial" w:cs="Arial"/>
          <w:sz w:val="22"/>
          <w:szCs w:val="22"/>
        </w:rPr>
        <w:t xml:space="preserve">the </w:t>
      </w:r>
      <w:r w:rsidRPr="00AB55D0">
        <w:rPr>
          <w:rFonts w:ascii="Arial" w:hAnsi="Arial" w:cs="Arial"/>
          <w:sz w:val="22"/>
          <w:szCs w:val="22"/>
        </w:rPr>
        <w:t>Client Support Management</w:t>
      </w:r>
      <w:r w:rsidR="0044786E" w:rsidRPr="00AB55D0">
        <w:rPr>
          <w:rFonts w:ascii="Arial" w:hAnsi="Arial" w:cs="Arial"/>
          <w:sz w:val="22"/>
          <w:szCs w:val="22"/>
        </w:rPr>
        <w:t xml:space="preserve"> </w:t>
      </w:r>
      <w:r>
        <w:rPr>
          <w:rFonts w:ascii="Arial" w:hAnsi="Arial" w:cs="Arial"/>
          <w:sz w:val="22"/>
          <w:szCs w:val="22"/>
        </w:rPr>
        <w:t xml:space="preserve">teams </w:t>
      </w:r>
      <w:r w:rsidR="0044786E" w:rsidRPr="00AB55D0">
        <w:rPr>
          <w:rFonts w:ascii="Arial" w:hAnsi="Arial" w:cs="Arial"/>
          <w:sz w:val="22"/>
          <w:szCs w:val="22"/>
        </w:rPr>
        <w:t xml:space="preserve">also need to be informed immediately on any changes in the account name (e.g. change of </w:t>
      </w:r>
      <w:r w:rsidR="0044786E" w:rsidRPr="00AB55D0">
        <w:rPr>
          <w:rFonts w:ascii="Arial" w:hAnsi="Arial" w:cs="Arial"/>
          <w:sz w:val="22"/>
          <w:szCs w:val="22"/>
        </w:rPr>
        <w:lastRenderedPageBreak/>
        <w:t xml:space="preserve">denomination of the company / agent name) or account code. Not informing the company </w:t>
      </w:r>
      <w:r w:rsidR="00CE7B47" w:rsidRPr="00AB55D0">
        <w:rPr>
          <w:rFonts w:ascii="Arial" w:hAnsi="Arial" w:cs="Arial"/>
          <w:sz w:val="22"/>
          <w:szCs w:val="22"/>
        </w:rPr>
        <w:t>will</w:t>
      </w:r>
      <w:r w:rsidR="0044786E" w:rsidRPr="00AB55D0">
        <w:rPr>
          <w:rFonts w:ascii="Arial" w:hAnsi="Arial" w:cs="Arial"/>
          <w:sz w:val="22"/>
          <w:szCs w:val="22"/>
        </w:rPr>
        <w:t xml:space="preserve"> cause rejection </w:t>
      </w:r>
      <w:r w:rsidR="00CE7B47" w:rsidRPr="00AB55D0">
        <w:rPr>
          <w:rFonts w:ascii="Arial" w:hAnsi="Arial" w:cs="Arial"/>
          <w:sz w:val="22"/>
          <w:szCs w:val="22"/>
        </w:rPr>
        <w:t>of</w:t>
      </w:r>
      <w:r w:rsidR="0044786E" w:rsidRPr="00AB55D0">
        <w:rPr>
          <w:rFonts w:ascii="Arial" w:hAnsi="Arial" w:cs="Arial"/>
          <w:sz w:val="22"/>
          <w:szCs w:val="22"/>
        </w:rPr>
        <w:t xml:space="preserve"> the rebates payments. </w:t>
      </w:r>
    </w:p>
    <w:p w14:paraId="74D940F9" w14:textId="77777777" w:rsidR="008B023F" w:rsidRPr="008A0546" w:rsidRDefault="008B023F" w:rsidP="00076284">
      <w:pPr>
        <w:ind w:left="340"/>
        <w:rPr>
          <w:rFonts w:ascii="Arial" w:hAnsi="Arial" w:cs="Arial"/>
          <w:sz w:val="22"/>
          <w:szCs w:val="22"/>
        </w:rPr>
      </w:pPr>
    </w:p>
    <w:p w14:paraId="4D9E7516" w14:textId="77777777" w:rsidR="008B023F" w:rsidRDefault="008B023F" w:rsidP="00076284">
      <w:pPr>
        <w:numPr>
          <w:ilvl w:val="0"/>
          <w:numId w:val="28"/>
        </w:numPr>
        <w:ind w:left="360"/>
        <w:rPr>
          <w:rFonts w:ascii="Arial" w:hAnsi="Arial" w:cs="Arial"/>
          <w:sz w:val="22"/>
          <w:szCs w:val="22"/>
        </w:rPr>
      </w:pPr>
      <w:r w:rsidRPr="008A0546">
        <w:rPr>
          <w:rFonts w:ascii="Arial" w:hAnsi="Arial" w:cs="Arial"/>
          <w:sz w:val="22"/>
          <w:szCs w:val="22"/>
        </w:rPr>
        <w:t xml:space="preserve">When a correspondent bank is involved in the process, it is important to include the correspondent bank details in the </w:t>
      </w:r>
      <w:r w:rsidR="00F97C64">
        <w:rPr>
          <w:rFonts w:ascii="Arial" w:hAnsi="Arial" w:cs="Arial"/>
          <w:sz w:val="22"/>
          <w:szCs w:val="22"/>
        </w:rPr>
        <w:t xml:space="preserve">agreement. </w:t>
      </w:r>
      <w:r w:rsidRPr="008A0546">
        <w:rPr>
          <w:rFonts w:ascii="Arial" w:hAnsi="Arial" w:cs="Arial"/>
          <w:sz w:val="22"/>
          <w:szCs w:val="22"/>
        </w:rPr>
        <w:t xml:space="preserve"> </w:t>
      </w:r>
    </w:p>
    <w:p w14:paraId="52FEA4BB" w14:textId="77777777" w:rsidR="00F97C64" w:rsidRPr="008A0546" w:rsidRDefault="00F97C64" w:rsidP="00076284">
      <w:pPr>
        <w:ind w:left="340"/>
        <w:rPr>
          <w:rFonts w:ascii="Arial" w:hAnsi="Arial" w:cs="Arial"/>
          <w:sz w:val="22"/>
          <w:szCs w:val="22"/>
        </w:rPr>
      </w:pPr>
    </w:p>
    <w:p w14:paraId="0E028EAD" w14:textId="6EFFDD77" w:rsidR="00F97C64" w:rsidRDefault="008B023F" w:rsidP="00076284">
      <w:pPr>
        <w:numPr>
          <w:ilvl w:val="0"/>
          <w:numId w:val="28"/>
        </w:numPr>
        <w:ind w:left="360"/>
        <w:rPr>
          <w:rFonts w:ascii="Arial" w:hAnsi="Arial" w:cs="Arial"/>
          <w:sz w:val="22"/>
          <w:szCs w:val="22"/>
        </w:rPr>
      </w:pPr>
      <w:r w:rsidRPr="008A0546">
        <w:rPr>
          <w:rFonts w:ascii="Arial" w:hAnsi="Arial" w:cs="Arial"/>
          <w:sz w:val="22"/>
          <w:szCs w:val="22"/>
        </w:rPr>
        <w:t xml:space="preserve">The maintenance of bank details is done </w:t>
      </w:r>
      <w:r w:rsidR="00F97C64">
        <w:rPr>
          <w:rFonts w:ascii="Arial" w:hAnsi="Arial" w:cs="Arial"/>
          <w:sz w:val="22"/>
          <w:szCs w:val="22"/>
        </w:rPr>
        <w:t xml:space="preserve">through the </w:t>
      </w:r>
      <w:r w:rsidR="00FB081E" w:rsidRPr="00FB081E">
        <w:rPr>
          <w:rFonts w:ascii="Arial" w:hAnsi="Arial" w:cs="Arial"/>
          <w:sz w:val="22"/>
          <w:szCs w:val="22"/>
        </w:rPr>
        <w:t xml:space="preserve">Payables Service Centre </w:t>
      </w:r>
      <w:r w:rsidR="00FB081E">
        <w:rPr>
          <w:rFonts w:ascii="Arial" w:hAnsi="Arial" w:cs="Arial"/>
          <w:sz w:val="22"/>
          <w:szCs w:val="22"/>
        </w:rPr>
        <w:t>in the UK</w:t>
      </w:r>
      <w:r w:rsidR="00CD31F5">
        <w:rPr>
          <w:rFonts w:ascii="Arial" w:hAnsi="Arial" w:cs="Arial"/>
          <w:sz w:val="22"/>
          <w:szCs w:val="22"/>
        </w:rPr>
        <w:t xml:space="preserve"> who also </w:t>
      </w:r>
      <w:r w:rsidRPr="008A0546">
        <w:rPr>
          <w:rFonts w:ascii="Arial" w:hAnsi="Arial" w:cs="Arial"/>
          <w:sz w:val="22"/>
          <w:szCs w:val="22"/>
        </w:rPr>
        <w:t>confirm the value date.</w:t>
      </w:r>
    </w:p>
    <w:p w14:paraId="1328362D" w14:textId="77777777" w:rsidR="006F34F6" w:rsidRDefault="006F34F6" w:rsidP="00076284">
      <w:pPr>
        <w:ind w:left="340"/>
        <w:rPr>
          <w:rFonts w:ascii="Arial" w:hAnsi="Arial" w:cs="Arial"/>
          <w:sz w:val="22"/>
          <w:szCs w:val="22"/>
        </w:rPr>
      </w:pPr>
    </w:p>
    <w:p w14:paraId="08B32016" w14:textId="77777777" w:rsidR="008B023F" w:rsidRDefault="008B023F" w:rsidP="00076284">
      <w:pPr>
        <w:numPr>
          <w:ilvl w:val="0"/>
          <w:numId w:val="28"/>
        </w:numPr>
        <w:ind w:left="360"/>
        <w:rPr>
          <w:rFonts w:ascii="Arial" w:hAnsi="Arial" w:cs="Arial"/>
          <w:sz w:val="22"/>
          <w:szCs w:val="22"/>
        </w:rPr>
      </w:pPr>
      <w:r w:rsidRPr="008A0546">
        <w:rPr>
          <w:rFonts w:ascii="Arial" w:hAnsi="Arial" w:cs="Arial"/>
          <w:sz w:val="22"/>
          <w:szCs w:val="22"/>
        </w:rPr>
        <w:t xml:space="preserve">The payment </w:t>
      </w:r>
      <w:r w:rsidR="00A10649">
        <w:rPr>
          <w:rFonts w:ascii="Arial" w:hAnsi="Arial" w:cs="Arial"/>
          <w:sz w:val="22"/>
          <w:szCs w:val="22"/>
        </w:rPr>
        <w:t xml:space="preserve">currency </w:t>
      </w:r>
      <w:r w:rsidRPr="008A0546">
        <w:rPr>
          <w:rFonts w:ascii="Arial" w:hAnsi="Arial" w:cs="Arial"/>
          <w:sz w:val="22"/>
          <w:szCs w:val="22"/>
        </w:rPr>
        <w:t xml:space="preserve">is made following the instruction of the </w:t>
      </w:r>
      <w:r w:rsidR="00F97C64">
        <w:rPr>
          <w:rFonts w:ascii="Arial" w:hAnsi="Arial" w:cs="Arial"/>
          <w:sz w:val="22"/>
          <w:szCs w:val="22"/>
        </w:rPr>
        <w:t>Distributor</w:t>
      </w:r>
      <w:r w:rsidRPr="008A0546">
        <w:rPr>
          <w:rFonts w:ascii="Arial" w:hAnsi="Arial" w:cs="Arial"/>
          <w:sz w:val="22"/>
          <w:szCs w:val="22"/>
        </w:rPr>
        <w:t xml:space="preserve"> and is not dependent on </w:t>
      </w:r>
      <w:r w:rsidR="000A7562">
        <w:rPr>
          <w:rFonts w:ascii="Arial" w:hAnsi="Arial" w:cs="Arial"/>
          <w:sz w:val="22"/>
          <w:szCs w:val="22"/>
        </w:rPr>
        <w:t xml:space="preserve">currency of </w:t>
      </w:r>
      <w:r w:rsidRPr="008A0546">
        <w:rPr>
          <w:rFonts w:ascii="Arial" w:hAnsi="Arial" w:cs="Arial"/>
          <w:sz w:val="22"/>
          <w:szCs w:val="22"/>
        </w:rPr>
        <w:t xml:space="preserve">the underlying investment. </w:t>
      </w:r>
    </w:p>
    <w:p w14:paraId="443782D1" w14:textId="77777777" w:rsidR="00983A79" w:rsidRDefault="00983A79" w:rsidP="00983A79">
      <w:pPr>
        <w:pStyle w:val="ListParagraph"/>
        <w:rPr>
          <w:rFonts w:ascii="Arial" w:hAnsi="Arial" w:cs="Arial"/>
          <w:sz w:val="22"/>
          <w:szCs w:val="22"/>
        </w:rPr>
      </w:pPr>
    </w:p>
    <w:p w14:paraId="20A25EB9" w14:textId="2A71F66F" w:rsidR="00983A79" w:rsidRPr="00983A79" w:rsidRDefault="00983A79" w:rsidP="00983A79">
      <w:pPr>
        <w:numPr>
          <w:ilvl w:val="0"/>
          <w:numId w:val="28"/>
        </w:numPr>
        <w:ind w:left="360"/>
        <w:rPr>
          <w:rFonts w:ascii="Arial" w:hAnsi="Arial" w:cs="Arial"/>
          <w:sz w:val="22"/>
          <w:szCs w:val="22"/>
        </w:rPr>
      </w:pPr>
      <w:r w:rsidRPr="00983A79">
        <w:rPr>
          <w:rFonts w:ascii="Arial" w:hAnsi="Arial" w:cs="Arial"/>
          <w:sz w:val="22"/>
          <w:szCs w:val="22"/>
        </w:rPr>
        <w:t>Rebates can be reinvested in the same fund and share class where rebates were calculated. This process is currently manual but can be support</w:t>
      </w:r>
      <w:r w:rsidR="00C274B5">
        <w:rPr>
          <w:rFonts w:ascii="Arial" w:hAnsi="Arial" w:cs="Arial"/>
          <w:sz w:val="22"/>
          <w:szCs w:val="22"/>
        </w:rPr>
        <w:t>ed</w:t>
      </w:r>
      <w:r w:rsidRPr="00983A79">
        <w:rPr>
          <w:rFonts w:ascii="Arial" w:hAnsi="Arial" w:cs="Arial"/>
          <w:sz w:val="22"/>
          <w:szCs w:val="22"/>
        </w:rPr>
        <w:t xml:space="preserve"> for a small number of clients and funds. In case a large number of clients with multiple funds and </w:t>
      </w:r>
      <w:proofErr w:type="spellStart"/>
      <w:r w:rsidRPr="00983A79">
        <w:rPr>
          <w:rFonts w:ascii="Arial" w:hAnsi="Arial" w:cs="Arial"/>
          <w:sz w:val="22"/>
          <w:szCs w:val="22"/>
        </w:rPr>
        <w:t>shareclass</w:t>
      </w:r>
      <w:proofErr w:type="spellEnd"/>
      <w:r w:rsidRPr="00983A79">
        <w:rPr>
          <w:rFonts w:ascii="Arial" w:hAnsi="Arial" w:cs="Arial"/>
          <w:sz w:val="22"/>
          <w:szCs w:val="22"/>
        </w:rPr>
        <w:t xml:space="preserve"> investments</w:t>
      </w:r>
      <w:r>
        <w:rPr>
          <w:rFonts w:ascii="Arial" w:hAnsi="Arial" w:cs="Arial"/>
          <w:sz w:val="22"/>
          <w:szCs w:val="22"/>
        </w:rPr>
        <w:t xml:space="preserve">, </w:t>
      </w:r>
      <w:r w:rsidRPr="00983A79">
        <w:rPr>
          <w:rFonts w:ascii="Arial" w:hAnsi="Arial" w:cs="Arial"/>
          <w:sz w:val="22"/>
          <w:szCs w:val="22"/>
        </w:rPr>
        <w:t xml:space="preserve">the </w:t>
      </w:r>
      <w:r w:rsidR="009A0638">
        <w:rPr>
          <w:rFonts w:ascii="Arial" w:hAnsi="Arial" w:cs="Arial"/>
          <w:sz w:val="22"/>
          <w:szCs w:val="22"/>
        </w:rPr>
        <w:t xml:space="preserve">Rebates </w:t>
      </w:r>
      <w:r w:rsidR="00924CD0">
        <w:rPr>
          <w:rFonts w:ascii="Arial" w:hAnsi="Arial" w:cs="Arial"/>
          <w:sz w:val="22"/>
          <w:szCs w:val="22"/>
        </w:rPr>
        <w:t>O</w:t>
      </w:r>
      <w:r w:rsidR="009A0638">
        <w:rPr>
          <w:rFonts w:ascii="Arial" w:hAnsi="Arial" w:cs="Arial"/>
          <w:sz w:val="22"/>
          <w:szCs w:val="22"/>
        </w:rPr>
        <w:t xml:space="preserve">perations </w:t>
      </w:r>
      <w:r w:rsidRPr="00983A79">
        <w:rPr>
          <w:rFonts w:ascii="Arial" w:hAnsi="Arial" w:cs="Arial"/>
          <w:sz w:val="22"/>
          <w:szCs w:val="22"/>
        </w:rPr>
        <w:t>team need to be inform to assess the feasibility.</w:t>
      </w:r>
    </w:p>
    <w:p w14:paraId="1018AE09" w14:textId="77777777" w:rsidR="00983A79" w:rsidRDefault="00983A79" w:rsidP="00983A79">
      <w:pPr>
        <w:pStyle w:val="ListParagraph"/>
        <w:rPr>
          <w:rFonts w:ascii="Arial" w:hAnsi="Arial" w:cs="Arial"/>
          <w:sz w:val="22"/>
          <w:szCs w:val="22"/>
        </w:rPr>
      </w:pPr>
    </w:p>
    <w:p w14:paraId="1DD9460B" w14:textId="77777777" w:rsidR="00983A79" w:rsidRDefault="00983A79" w:rsidP="00076284">
      <w:pPr>
        <w:ind w:left="340"/>
        <w:rPr>
          <w:rFonts w:ascii="Arial" w:hAnsi="Arial" w:cs="Arial"/>
          <w:sz w:val="22"/>
          <w:szCs w:val="22"/>
        </w:rPr>
      </w:pPr>
    </w:p>
    <w:p w14:paraId="3360E55F" w14:textId="77777777" w:rsidR="0023281C" w:rsidRPr="00891985" w:rsidRDefault="008F3E01" w:rsidP="0023281C">
      <w:pPr>
        <w:numPr>
          <w:ilvl w:val="0"/>
          <w:numId w:val="25"/>
        </w:numPr>
        <w:rPr>
          <w:rFonts w:ascii="Arial" w:hAnsi="Arial" w:cs="Arial"/>
          <w:b/>
          <w:bCs/>
          <w:i/>
          <w:kern w:val="32"/>
          <w:sz w:val="24"/>
          <w:szCs w:val="24"/>
          <w:u w:val="single"/>
        </w:rPr>
      </w:pPr>
      <w:r>
        <w:rPr>
          <w:rFonts w:ascii="Arial" w:hAnsi="Arial" w:cs="Arial"/>
          <w:b/>
          <w:bCs/>
          <w:i/>
          <w:kern w:val="32"/>
          <w:sz w:val="24"/>
          <w:szCs w:val="24"/>
          <w:u w:val="single"/>
        </w:rPr>
        <w:t>C</w:t>
      </w:r>
      <w:r w:rsidR="0023281C" w:rsidRPr="00891985">
        <w:rPr>
          <w:rFonts w:ascii="Arial" w:hAnsi="Arial" w:cs="Arial"/>
          <w:b/>
          <w:bCs/>
          <w:i/>
          <w:kern w:val="32"/>
          <w:sz w:val="24"/>
          <w:szCs w:val="24"/>
          <w:u w:val="single"/>
        </w:rPr>
        <w:t>ontact</w:t>
      </w:r>
      <w:r>
        <w:rPr>
          <w:rFonts w:ascii="Arial" w:hAnsi="Arial" w:cs="Arial"/>
          <w:b/>
          <w:bCs/>
          <w:i/>
          <w:kern w:val="32"/>
          <w:sz w:val="24"/>
          <w:szCs w:val="24"/>
          <w:u w:val="single"/>
        </w:rPr>
        <w:t>s</w:t>
      </w:r>
      <w:r w:rsidR="0023281C">
        <w:rPr>
          <w:rFonts w:ascii="Arial" w:hAnsi="Arial" w:cs="Arial"/>
          <w:b/>
          <w:bCs/>
          <w:i/>
          <w:kern w:val="32"/>
          <w:sz w:val="24"/>
          <w:szCs w:val="24"/>
          <w:u w:val="single"/>
        </w:rPr>
        <w:t>:</w:t>
      </w:r>
    </w:p>
    <w:p w14:paraId="274C2B08" w14:textId="77777777" w:rsidR="0023281C" w:rsidRDefault="0023281C" w:rsidP="0023281C">
      <w:pPr>
        <w:rPr>
          <w:rFonts w:ascii="Arial" w:hAnsi="Arial" w:cs="Arial"/>
          <w:sz w:val="22"/>
          <w:szCs w:val="22"/>
        </w:rPr>
      </w:pPr>
    </w:p>
    <w:p w14:paraId="301B8A41" w14:textId="77777777" w:rsidR="008A4BD3" w:rsidRDefault="008A4BD3" w:rsidP="0023281C">
      <w:pPr>
        <w:rPr>
          <w:rFonts w:ascii="Arial" w:hAnsi="Arial" w:cs="Arial"/>
          <w:sz w:val="22"/>
          <w:szCs w:val="22"/>
        </w:rPr>
      </w:pPr>
    </w:p>
    <w:p w14:paraId="66D77627" w14:textId="22E6FA54" w:rsidR="00F7568C" w:rsidRPr="00E70C80" w:rsidRDefault="0023281C">
      <w:pPr>
        <w:rPr>
          <w:rFonts w:ascii="Arial" w:hAnsi="Arial" w:cs="Arial"/>
          <w:sz w:val="22"/>
          <w:szCs w:val="22"/>
        </w:rPr>
      </w:pPr>
      <w:r>
        <w:rPr>
          <w:rFonts w:ascii="Arial" w:hAnsi="Arial" w:cs="Arial"/>
          <w:sz w:val="22"/>
          <w:szCs w:val="22"/>
        </w:rPr>
        <w:t xml:space="preserve">The Schroders </w:t>
      </w:r>
      <w:r w:rsidR="004810A5">
        <w:rPr>
          <w:rFonts w:ascii="Arial" w:hAnsi="Arial" w:cs="Arial"/>
          <w:sz w:val="22"/>
          <w:szCs w:val="22"/>
        </w:rPr>
        <w:t xml:space="preserve">Europe </w:t>
      </w:r>
      <w:r w:rsidR="00924CD0">
        <w:rPr>
          <w:rFonts w:ascii="Arial" w:hAnsi="Arial" w:cs="Arial"/>
          <w:sz w:val="22"/>
          <w:szCs w:val="22"/>
        </w:rPr>
        <w:t>R</w:t>
      </w:r>
      <w:r w:rsidR="004810A5">
        <w:rPr>
          <w:rFonts w:ascii="Arial" w:hAnsi="Arial" w:cs="Arial"/>
          <w:sz w:val="22"/>
          <w:szCs w:val="22"/>
        </w:rPr>
        <w:t xml:space="preserve">ebates </w:t>
      </w:r>
      <w:r w:rsidR="00924CD0">
        <w:rPr>
          <w:rFonts w:ascii="Arial" w:hAnsi="Arial" w:cs="Arial"/>
          <w:sz w:val="22"/>
          <w:szCs w:val="22"/>
        </w:rPr>
        <w:t>O</w:t>
      </w:r>
      <w:r w:rsidR="004810A5">
        <w:rPr>
          <w:rFonts w:ascii="Arial" w:hAnsi="Arial" w:cs="Arial"/>
          <w:sz w:val="22"/>
          <w:szCs w:val="22"/>
        </w:rPr>
        <w:t xml:space="preserve">perations </w:t>
      </w:r>
      <w:r w:rsidR="00866E0F">
        <w:rPr>
          <w:rFonts w:ascii="Arial" w:hAnsi="Arial" w:cs="Arial"/>
          <w:sz w:val="22"/>
          <w:szCs w:val="22"/>
        </w:rPr>
        <w:t>team</w:t>
      </w:r>
      <w:r>
        <w:rPr>
          <w:rFonts w:ascii="Arial" w:hAnsi="Arial" w:cs="Arial"/>
          <w:sz w:val="22"/>
          <w:szCs w:val="22"/>
        </w:rPr>
        <w:t xml:space="preserve"> are available to answer any queries with regard to </w:t>
      </w:r>
      <w:r w:rsidR="008A4BD3">
        <w:rPr>
          <w:rFonts w:ascii="Arial" w:hAnsi="Arial" w:cs="Arial"/>
          <w:sz w:val="22"/>
          <w:szCs w:val="22"/>
        </w:rPr>
        <w:t xml:space="preserve">rebate calculations, </w:t>
      </w:r>
      <w:r>
        <w:rPr>
          <w:rFonts w:ascii="Arial" w:hAnsi="Arial" w:cs="Arial"/>
          <w:sz w:val="22"/>
          <w:szCs w:val="22"/>
        </w:rPr>
        <w:t>payments</w:t>
      </w:r>
      <w:r w:rsidR="008A4BD3">
        <w:rPr>
          <w:rFonts w:ascii="Arial" w:hAnsi="Arial" w:cs="Arial"/>
          <w:sz w:val="22"/>
          <w:szCs w:val="22"/>
        </w:rPr>
        <w:t xml:space="preserve"> or any aspect of the rebate process</w:t>
      </w:r>
      <w:r>
        <w:rPr>
          <w:rFonts w:ascii="Arial" w:hAnsi="Arial" w:cs="Arial"/>
          <w:sz w:val="22"/>
          <w:szCs w:val="22"/>
        </w:rPr>
        <w:t>. Please do not hesitate to contact</w:t>
      </w:r>
      <w:r w:rsidR="00E70C80">
        <w:rPr>
          <w:rFonts w:ascii="Arial" w:hAnsi="Arial" w:cs="Arial"/>
          <w:sz w:val="22"/>
          <w:szCs w:val="22"/>
        </w:rPr>
        <w:t xml:space="preserve"> us at </w:t>
      </w:r>
      <w:hyperlink r:id="rId12" w:history="1">
        <w:r w:rsidR="00E70C80" w:rsidRPr="00395228">
          <w:rPr>
            <w:rStyle w:val="Hyperlink"/>
            <w:rFonts w:ascii="Arial" w:hAnsi="Arial" w:cs="Arial"/>
            <w:sz w:val="22"/>
            <w:szCs w:val="22"/>
          </w:rPr>
          <w:t>SchroderCommissions@schroders.com</w:t>
        </w:r>
      </w:hyperlink>
    </w:p>
    <w:sectPr w:rsidR="00F7568C" w:rsidRPr="00E70C80">
      <w:headerReference w:type="default" r:id="rId1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77502" w14:textId="77777777" w:rsidR="006857F2" w:rsidRDefault="006857F2">
      <w:r>
        <w:separator/>
      </w:r>
    </w:p>
  </w:endnote>
  <w:endnote w:type="continuationSeparator" w:id="0">
    <w:p w14:paraId="36C2A435" w14:textId="77777777" w:rsidR="006857F2" w:rsidRDefault="0068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EFC6D" w14:textId="77777777" w:rsidR="006857F2" w:rsidRDefault="006857F2">
      <w:r>
        <w:separator/>
      </w:r>
    </w:p>
  </w:footnote>
  <w:footnote w:type="continuationSeparator" w:id="0">
    <w:p w14:paraId="1EA77F04" w14:textId="77777777" w:rsidR="006857F2" w:rsidRDefault="00685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ACEE" w14:textId="0281934E" w:rsidR="00696EFF" w:rsidRDefault="00505A3D">
    <w:pPr>
      <w:pStyle w:val="Header"/>
      <w:rPr>
        <w:rFonts w:ascii="Arial" w:hAnsi="Arial" w:cs="Arial"/>
        <w:b/>
        <w:i/>
        <w:sz w:val="24"/>
        <w:szCs w:val="24"/>
      </w:rPr>
    </w:pPr>
    <w:r>
      <w:rPr>
        <w:noProof/>
      </w:rPr>
      <w:drawing>
        <wp:anchor distT="0" distB="0" distL="114300" distR="114300" simplePos="0" relativeHeight="251659776" behindDoc="1" locked="0" layoutInCell="1" allowOverlap="1" wp14:anchorId="3748BE8B" wp14:editId="01A4AE76">
          <wp:simplePos x="0" y="0"/>
          <wp:positionH relativeFrom="margin">
            <wp:posOffset>3971925</wp:posOffset>
          </wp:positionH>
          <wp:positionV relativeFrom="paragraph">
            <wp:posOffset>-228600</wp:posOffset>
          </wp:positionV>
          <wp:extent cx="1876425" cy="711200"/>
          <wp:effectExtent l="0" t="0" r="9525" b="0"/>
          <wp:wrapThrough wrapText="bothSides">
            <wp:wrapPolygon edited="0">
              <wp:start x="0" y="0"/>
              <wp:lineTo x="0" y="20829"/>
              <wp:lineTo x="21490" y="20829"/>
              <wp:lineTo x="21490" y="0"/>
              <wp:lineTo x="0" y="0"/>
            </wp:wrapPolygon>
          </wp:wrapThrough>
          <wp:docPr id="1"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 cstate="print">
                    <a:biLevel thresh="75000"/>
                    <a:extLst>
                      <a:ext uri="{BEBA8EAE-BF5A-486C-A8C5-ECC9F3942E4B}">
                        <a14:imgProps xmlns:a14="http://schemas.microsoft.com/office/drawing/2010/main">
                          <a14:imgLayer r:embed="rId2">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7642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6EFF">
      <w:rPr>
        <w:rFonts w:ascii="Arial" w:hAnsi="Arial" w:cs="Arial"/>
        <w:b/>
        <w:i/>
        <w:sz w:val="24"/>
        <w:szCs w:val="24"/>
      </w:rPr>
      <w:t>Rebates Process Overview</w:t>
    </w:r>
    <w:r w:rsidR="00696EFF">
      <w:rPr>
        <w:rFonts w:ascii="Arial" w:hAnsi="Arial" w:cs="Arial"/>
        <w:b/>
        <w:i/>
        <w:sz w:val="24"/>
        <w:szCs w:val="24"/>
      </w:rPr>
      <w:br/>
      <w:t xml:space="preserve">Schroders </w:t>
    </w:r>
    <w:r w:rsidR="004810A5">
      <w:rPr>
        <w:rFonts w:ascii="Arial" w:hAnsi="Arial" w:cs="Arial"/>
        <w:b/>
        <w:i/>
        <w:sz w:val="24"/>
        <w:szCs w:val="24"/>
      </w:rPr>
      <w:t>Europe</w:t>
    </w:r>
  </w:p>
  <w:p w14:paraId="4E711F95" w14:textId="77777777" w:rsidR="00696EFF" w:rsidRPr="00422FA2" w:rsidRDefault="00696EFF">
    <w:pPr>
      <w:pStyle w:val="Head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19C"/>
    <w:multiLevelType w:val="hybridMultilevel"/>
    <w:tmpl w:val="AEB621A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899746E"/>
    <w:multiLevelType w:val="hybridMultilevel"/>
    <w:tmpl w:val="26061BD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85E7A96"/>
    <w:multiLevelType w:val="hybridMultilevel"/>
    <w:tmpl w:val="60A88AB4"/>
    <w:lvl w:ilvl="0" w:tplc="F3D2545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F722CD"/>
    <w:multiLevelType w:val="hybridMultilevel"/>
    <w:tmpl w:val="884A0726"/>
    <w:lvl w:ilvl="0" w:tplc="C3C0595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925C7"/>
    <w:multiLevelType w:val="hybridMultilevel"/>
    <w:tmpl w:val="8CB48070"/>
    <w:lvl w:ilvl="0" w:tplc="F3D2545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E54E8"/>
    <w:multiLevelType w:val="hybridMultilevel"/>
    <w:tmpl w:val="3D48598A"/>
    <w:lvl w:ilvl="0" w:tplc="CC5EB25E">
      <w:start w:val="1"/>
      <w:numFmt w:val="lowerLetter"/>
      <w:pStyle w:val="Style2"/>
      <w:lvlText w:val="%1)"/>
      <w:lvlJc w:val="left"/>
      <w:pPr>
        <w:tabs>
          <w:tab w:val="num" w:pos="360"/>
        </w:tabs>
        <w:ind w:left="360" w:hanging="360"/>
      </w:pPr>
    </w:lvl>
    <w:lvl w:ilvl="1" w:tplc="F3D2545A">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B7F6239"/>
    <w:multiLevelType w:val="multilevel"/>
    <w:tmpl w:val="F44207B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EE119C8"/>
    <w:multiLevelType w:val="hybridMultilevel"/>
    <w:tmpl w:val="6B82BC24"/>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F90578A"/>
    <w:multiLevelType w:val="hybridMultilevel"/>
    <w:tmpl w:val="2DD47764"/>
    <w:lvl w:ilvl="0" w:tplc="08090001">
      <w:start w:val="1"/>
      <w:numFmt w:val="bullet"/>
      <w:lvlText w:val=""/>
      <w:lvlJc w:val="left"/>
      <w:pPr>
        <w:tabs>
          <w:tab w:val="num" w:pos="720"/>
        </w:tabs>
        <w:ind w:left="720" w:hanging="360"/>
      </w:pPr>
      <w:rPr>
        <w:rFonts w:ascii="Symbol" w:hAnsi="Symbol" w:hint="default"/>
      </w:rPr>
    </w:lvl>
    <w:lvl w:ilvl="1" w:tplc="F3D2545A">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F92390F"/>
    <w:multiLevelType w:val="hybridMultilevel"/>
    <w:tmpl w:val="01B61B6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480A6A84"/>
    <w:multiLevelType w:val="hybridMultilevel"/>
    <w:tmpl w:val="45CE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11272"/>
    <w:multiLevelType w:val="hybridMultilevel"/>
    <w:tmpl w:val="B5007856"/>
    <w:lvl w:ilvl="0" w:tplc="865E619C">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64C6D1E"/>
    <w:multiLevelType w:val="hybridMultilevel"/>
    <w:tmpl w:val="D3D2D55C"/>
    <w:lvl w:ilvl="0" w:tplc="F3D2545A">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82F5EBA"/>
    <w:multiLevelType w:val="hybridMultilevel"/>
    <w:tmpl w:val="B65A117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8DE0764"/>
    <w:multiLevelType w:val="hybridMultilevel"/>
    <w:tmpl w:val="5126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69ED"/>
    <w:multiLevelType w:val="hybridMultilevel"/>
    <w:tmpl w:val="CC7AFAAC"/>
    <w:lvl w:ilvl="0" w:tplc="56FC84C4">
      <w:start w:val="1"/>
      <w:numFmt w:val="decimal"/>
      <w:pStyle w:val="Style1"/>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E965C43"/>
    <w:multiLevelType w:val="hybridMultilevel"/>
    <w:tmpl w:val="8F10EE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5FF92384"/>
    <w:multiLevelType w:val="hybridMultilevel"/>
    <w:tmpl w:val="85ACB88C"/>
    <w:lvl w:ilvl="0" w:tplc="F3D254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2273ED"/>
    <w:multiLevelType w:val="hybridMultilevel"/>
    <w:tmpl w:val="681A2C36"/>
    <w:lvl w:ilvl="0" w:tplc="F3D2545A">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5972A91"/>
    <w:multiLevelType w:val="hybridMultilevel"/>
    <w:tmpl w:val="8A9057B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66E82ECE"/>
    <w:multiLevelType w:val="multilevel"/>
    <w:tmpl w:val="8A926E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71A1B5C"/>
    <w:multiLevelType w:val="hybridMultilevel"/>
    <w:tmpl w:val="8A926E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9680EE2"/>
    <w:multiLevelType w:val="multilevel"/>
    <w:tmpl w:val="B6266D6E"/>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ADD631A"/>
    <w:multiLevelType w:val="hybridMultilevel"/>
    <w:tmpl w:val="F44207B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6C37562F"/>
    <w:multiLevelType w:val="hybridMultilevel"/>
    <w:tmpl w:val="F24000E0"/>
    <w:lvl w:ilvl="0" w:tplc="C3C05956">
      <w:numFmt w:val="bullet"/>
      <w:lvlText w:val=""/>
      <w:lvlJc w:val="left"/>
      <w:pPr>
        <w:tabs>
          <w:tab w:val="num" w:pos="720"/>
        </w:tabs>
        <w:ind w:left="720" w:hanging="360"/>
      </w:pPr>
      <w:rPr>
        <w:rFonts w:ascii="Symbol" w:eastAsia="Times New Roman" w:hAnsi="Symbo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54A5D40"/>
    <w:multiLevelType w:val="hybridMultilevel"/>
    <w:tmpl w:val="CB44A040"/>
    <w:lvl w:ilvl="0" w:tplc="C3C0595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1B15A4"/>
    <w:multiLevelType w:val="multilevel"/>
    <w:tmpl w:val="8F10EE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7AF60F24"/>
    <w:multiLevelType w:val="hybridMultilevel"/>
    <w:tmpl w:val="3F3A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4"/>
  </w:num>
  <w:num w:numId="4">
    <w:abstractNumId w:val="2"/>
  </w:num>
  <w:num w:numId="5">
    <w:abstractNumId w:val="3"/>
  </w:num>
  <w:num w:numId="6">
    <w:abstractNumId w:val="15"/>
  </w:num>
  <w:num w:numId="7">
    <w:abstractNumId w:val="5"/>
  </w:num>
  <w:num w:numId="8">
    <w:abstractNumId w:val="22"/>
  </w:num>
  <w:num w:numId="9">
    <w:abstractNumId w:val="5"/>
    <w:lvlOverride w:ilvl="0">
      <w:startOverride w:val="1"/>
    </w:lvlOverride>
  </w:num>
  <w:num w:numId="10">
    <w:abstractNumId w:val="21"/>
  </w:num>
  <w:num w:numId="11">
    <w:abstractNumId w:val="20"/>
  </w:num>
  <w:num w:numId="12">
    <w:abstractNumId w:val="1"/>
  </w:num>
  <w:num w:numId="13">
    <w:abstractNumId w:val="11"/>
  </w:num>
  <w:num w:numId="14">
    <w:abstractNumId w:val="9"/>
  </w:num>
  <w:num w:numId="15">
    <w:abstractNumId w:val="8"/>
  </w:num>
  <w:num w:numId="16">
    <w:abstractNumId w:val="18"/>
  </w:num>
  <w:num w:numId="17">
    <w:abstractNumId w:val="23"/>
  </w:num>
  <w:num w:numId="18">
    <w:abstractNumId w:val="17"/>
  </w:num>
  <w:num w:numId="19">
    <w:abstractNumId w:val="24"/>
  </w:num>
  <w:num w:numId="20">
    <w:abstractNumId w:val="6"/>
  </w:num>
  <w:num w:numId="21">
    <w:abstractNumId w:val="0"/>
  </w:num>
  <w:num w:numId="22">
    <w:abstractNumId w:val="19"/>
  </w:num>
  <w:num w:numId="23">
    <w:abstractNumId w:val="16"/>
  </w:num>
  <w:num w:numId="24">
    <w:abstractNumId w:val="26"/>
  </w:num>
  <w:num w:numId="25">
    <w:abstractNumId w:val="13"/>
  </w:num>
  <w:num w:numId="26">
    <w:abstractNumId w:val="14"/>
  </w:num>
  <w:num w:numId="27">
    <w:abstractNumId w:val="7"/>
  </w:num>
  <w:num w:numId="28">
    <w:abstractNumId w:val="2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E6"/>
    <w:rsid w:val="00012FFE"/>
    <w:rsid w:val="00025175"/>
    <w:rsid w:val="000362B4"/>
    <w:rsid w:val="00040F96"/>
    <w:rsid w:val="00076284"/>
    <w:rsid w:val="0008688E"/>
    <w:rsid w:val="0009212B"/>
    <w:rsid w:val="000A7562"/>
    <w:rsid w:val="000E0A67"/>
    <w:rsid w:val="000E74F2"/>
    <w:rsid w:val="0010342A"/>
    <w:rsid w:val="00103B80"/>
    <w:rsid w:val="00113D7B"/>
    <w:rsid w:val="0012295D"/>
    <w:rsid w:val="00131754"/>
    <w:rsid w:val="00131A9E"/>
    <w:rsid w:val="001402A7"/>
    <w:rsid w:val="00173167"/>
    <w:rsid w:val="001A0DAA"/>
    <w:rsid w:val="001D21ED"/>
    <w:rsid w:val="001E4F11"/>
    <w:rsid w:val="00223A95"/>
    <w:rsid w:val="0023281C"/>
    <w:rsid w:val="0024194D"/>
    <w:rsid w:val="0026021E"/>
    <w:rsid w:val="00265EA5"/>
    <w:rsid w:val="002829EF"/>
    <w:rsid w:val="00297AF2"/>
    <w:rsid w:val="002C12D1"/>
    <w:rsid w:val="002F23F5"/>
    <w:rsid w:val="00324DF2"/>
    <w:rsid w:val="003441BE"/>
    <w:rsid w:val="0034694E"/>
    <w:rsid w:val="003532B8"/>
    <w:rsid w:val="003546E2"/>
    <w:rsid w:val="00357701"/>
    <w:rsid w:val="00384900"/>
    <w:rsid w:val="0039014E"/>
    <w:rsid w:val="003962E5"/>
    <w:rsid w:val="003B1C7F"/>
    <w:rsid w:val="003B4C3A"/>
    <w:rsid w:val="003D205A"/>
    <w:rsid w:val="003F233A"/>
    <w:rsid w:val="00422FA2"/>
    <w:rsid w:val="00427E36"/>
    <w:rsid w:val="004302E2"/>
    <w:rsid w:val="00433A4F"/>
    <w:rsid w:val="00435311"/>
    <w:rsid w:val="00444EC5"/>
    <w:rsid w:val="0044786E"/>
    <w:rsid w:val="00450F88"/>
    <w:rsid w:val="004810A5"/>
    <w:rsid w:val="004E43BD"/>
    <w:rsid w:val="004F1E18"/>
    <w:rsid w:val="004F4B94"/>
    <w:rsid w:val="00505A3D"/>
    <w:rsid w:val="00516CCA"/>
    <w:rsid w:val="00595A18"/>
    <w:rsid w:val="00595D05"/>
    <w:rsid w:val="005B050F"/>
    <w:rsid w:val="005E5821"/>
    <w:rsid w:val="00635AFF"/>
    <w:rsid w:val="00641FF8"/>
    <w:rsid w:val="00647188"/>
    <w:rsid w:val="00662C2E"/>
    <w:rsid w:val="00670D9F"/>
    <w:rsid w:val="006857F2"/>
    <w:rsid w:val="00686853"/>
    <w:rsid w:val="00696EFF"/>
    <w:rsid w:val="006A4A8C"/>
    <w:rsid w:val="006D4288"/>
    <w:rsid w:val="006F34F6"/>
    <w:rsid w:val="00712C70"/>
    <w:rsid w:val="0073338E"/>
    <w:rsid w:val="00771F83"/>
    <w:rsid w:val="00786010"/>
    <w:rsid w:val="00797CF1"/>
    <w:rsid w:val="007B1FBD"/>
    <w:rsid w:val="007C6E1C"/>
    <w:rsid w:val="007F1098"/>
    <w:rsid w:val="007F5BB8"/>
    <w:rsid w:val="0081371E"/>
    <w:rsid w:val="00820098"/>
    <w:rsid w:val="008275EE"/>
    <w:rsid w:val="00830217"/>
    <w:rsid w:val="0084654A"/>
    <w:rsid w:val="00866E0F"/>
    <w:rsid w:val="00890EAF"/>
    <w:rsid w:val="00897815"/>
    <w:rsid w:val="008A0546"/>
    <w:rsid w:val="008A4BD3"/>
    <w:rsid w:val="008B023F"/>
    <w:rsid w:val="008C5AFC"/>
    <w:rsid w:val="008F3E01"/>
    <w:rsid w:val="00900077"/>
    <w:rsid w:val="00904B3E"/>
    <w:rsid w:val="00924CD0"/>
    <w:rsid w:val="009450B6"/>
    <w:rsid w:val="00966E17"/>
    <w:rsid w:val="00983A79"/>
    <w:rsid w:val="00985B03"/>
    <w:rsid w:val="009A0638"/>
    <w:rsid w:val="009A1663"/>
    <w:rsid w:val="009A5FFD"/>
    <w:rsid w:val="009A71AE"/>
    <w:rsid w:val="009C6F74"/>
    <w:rsid w:val="009D2B90"/>
    <w:rsid w:val="009F0BB9"/>
    <w:rsid w:val="009F34EF"/>
    <w:rsid w:val="00A02A0B"/>
    <w:rsid w:val="00A0314A"/>
    <w:rsid w:val="00A0625D"/>
    <w:rsid w:val="00A10649"/>
    <w:rsid w:val="00A1105C"/>
    <w:rsid w:val="00A4218A"/>
    <w:rsid w:val="00A508E6"/>
    <w:rsid w:val="00A50A48"/>
    <w:rsid w:val="00A61A55"/>
    <w:rsid w:val="00A64F8E"/>
    <w:rsid w:val="00A70024"/>
    <w:rsid w:val="00A90C04"/>
    <w:rsid w:val="00AB55D0"/>
    <w:rsid w:val="00AB6C6A"/>
    <w:rsid w:val="00B03B67"/>
    <w:rsid w:val="00B0488C"/>
    <w:rsid w:val="00B13F1D"/>
    <w:rsid w:val="00B40FEA"/>
    <w:rsid w:val="00B524B4"/>
    <w:rsid w:val="00B639D5"/>
    <w:rsid w:val="00B84E50"/>
    <w:rsid w:val="00B923F7"/>
    <w:rsid w:val="00BA2DA3"/>
    <w:rsid w:val="00BA3604"/>
    <w:rsid w:val="00BA523B"/>
    <w:rsid w:val="00BE1784"/>
    <w:rsid w:val="00BE179F"/>
    <w:rsid w:val="00C24F06"/>
    <w:rsid w:val="00C274B5"/>
    <w:rsid w:val="00C6086D"/>
    <w:rsid w:val="00C619BB"/>
    <w:rsid w:val="00C64715"/>
    <w:rsid w:val="00C704BA"/>
    <w:rsid w:val="00CC079E"/>
    <w:rsid w:val="00CD31F5"/>
    <w:rsid w:val="00CE7B47"/>
    <w:rsid w:val="00D034ED"/>
    <w:rsid w:val="00D42A18"/>
    <w:rsid w:val="00D42F59"/>
    <w:rsid w:val="00D80BA6"/>
    <w:rsid w:val="00D83B70"/>
    <w:rsid w:val="00DC0DB9"/>
    <w:rsid w:val="00DD7DB2"/>
    <w:rsid w:val="00DE4C59"/>
    <w:rsid w:val="00DF5ABC"/>
    <w:rsid w:val="00DF7E0E"/>
    <w:rsid w:val="00E43CBD"/>
    <w:rsid w:val="00E70C80"/>
    <w:rsid w:val="00E727AB"/>
    <w:rsid w:val="00E83EF0"/>
    <w:rsid w:val="00EA5ED0"/>
    <w:rsid w:val="00EC2DE5"/>
    <w:rsid w:val="00EE6922"/>
    <w:rsid w:val="00EF14E2"/>
    <w:rsid w:val="00F2528C"/>
    <w:rsid w:val="00F33C0C"/>
    <w:rsid w:val="00F44C4B"/>
    <w:rsid w:val="00F52E56"/>
    <w:rsid w:val="00F55A75"/>
    <w:rsid w:val="00F6153B"/>
    <w:rsid w:val="00F7568C"/>
    <w:rsid w:val="00F97C64"/>
    <w:rsid w:val="00FA2401"/>
    <w:rsid w:val="00FB081E"/>
    <w:rsid w:val="00FC3330"/>
    <w:rsid w:val="00FE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49F21B"/>
  <w15:docId w15:val="{F8107444-85DB-4DFC-8DFF-20A665CE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rsid w:val="00265EA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C6F7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5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0024"/>
    <w:rPr>
      <w:color w:val="0000FF"/>
      <w:u w:val="single"/>
    </w:rPr>
  </w:style>
  <w:style w:type="paragraph" w:styleId="BalloonText">
    <w:name w:val="Balloon Text"/>
    <w:basedOn w:val="Normal"/>
    <w:semiHidden/>
    <w:rsid w:val="003B1C7F"/>
    <w:rPr>
      <w:rFonts w:ascii="Tahoma" w:hAnsi="Tahoma" w:cs="Tahoma"/>
      <w:sz w:val="16"/>
      <w:szCs w:val="16"/>
    </w:rPr>
  </w:style>
  <w:style w:type="paragraph" w:customStyle="1" w:styleId="Style1">
    <w:name w:val="Style1"/>
    <w:basedOn w:val="Heading1"/>
    <w:rsid w:val="009C6F74"/>
    <w:pPr>
      <w:numPr>
        <w:numId w:val="6"/>
      </w:numPr>
    </w:pPr>
    <w:rPr>
      <w:u w:val="single"/>
    </w:rPr>
  </w:style>
  <w:style w:type="paragraph" w:customStyle="1" w:styleId="Style2">
    <w:name w:val="Style2"/>
    <w:basedOn w:val="Normal"/>
    <w:rsid w:val="009C6F74"/>
    <w:pPr>
      <w:numPr>
        <w:numId w:val="7"/>
      </w:numPr>
    </w:pPr>
    <w:rPr>
      <w:rFonts w:ascii="Arial" w:hAnsi="Arial" w:cs="Arial"/>
      <w:sz w:val="22"/>
      <w:szCs w:val="22"/>
      <w:u w:val="single"/>
    </w:rPr>
  </w:style>
  <w:style w:type="paragraph" w:styleId="Header">
    <w:name w:val="header"/>
    <w:basedOn w:val="Normal"/>
    <w:rsid w:val="00422FA2"/>
    <w:pPr>
      <w:tabs>
        <w:tab w:val="center" w:pos="4153"/>
        <w:tab w:val="right" w:pos="8306"/>
      </w:tabs>
    </w:pPr>
  </w:style>
  <w:style w:type="paragraph" w:styleId="Footer">
    <w:name w:val="footer"/>
    <w:basedOn w:val="Normal"/>
    <w:rsid w:val="00422FA2"/>
    <w:pPr>
      <w:tabs>
        <w:tab w:val="center" w:pos="4153"/>
        <w:tab w:val="right" w:pos="8306"/>
      </w:tabs>
    </w:pPr>
  </w:style>
  <w:style w:type="paragraph" w:styleId="ListParagraph">
    <w:name w:val="List Paragraph"/>
    <w:basedOn w:val="Normal"/>
    <w:uiPriority w:val="34"/>
    <w:qFormat/>
    <w:rsid w:val="00131754"/>
    <w:pPr>
      <w:ind w:left="720"/>
    </w:pPr>
  </w:style>
  <w:style w:type="paragraph" w:customStyle="1" w:styleId="ms-rteelement-p1">
    <w:name w:val="ms-rteelement-p1"/>
    <w:basedOn w:val="Normal"/>
    <w:rsid w:val="00712C70"/>
    <w:pPr>
      <w:spacing w:after="75"/>
    </w:pPr>
    <w:rPr>
      <w:color w:val="576170"/>
      <w:sz w:val="24"/>
      <w:szCs w:val="24"/>
    </w:rPr>
  </w:style>
  <w:style w:type="character" w:styleId="FollowedHyperlink">
    <w:name w:val="FollowedHyperlink"/>
    <w:basedOn w:val="DefaultParagraphFont"/>
    <w:rsid w:val="009F34EF"/>
    <w:rPr>
      <w:color w:val="800080" w:themeColor="followedHyperlink"/>
      <w:u w:val="single"/>
    </w:rPr>
  </w:style>
  <w:style w:type="character" w:styleId="UnresolvedMention">
    <w:name w:val="Unresolved Mention"/>
    <w:basedOn w:val="DefaultParagraphFont"/>
    <w:uiPriority w:val="99"/>
    <w:semiHidden/>
    <w:unhideWhenUsed/>
    <w:rsid w:val="00E70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82246">
      <w:bodyDiv w:val="1"/>
      <w:marLeft w:val="0"/>
      <w:marRight w:val="0"/>
      <w:marTop w:val="0"/>
      <w:marBottom w:val="0"/>
      <w:divBdr>
        <w:top w:val="none" w:sz="0" w:space="0" w:color="auto"/>
        <w:left w:val="none" w:sz="0" w:space="0" w:color="auto"/>
        <w:bottom w:val="none" w:sz="0" w:space="0" w:color="auto"/>
        <w:right w:val="none" w:sz="0" w:space="0" w:color="auto"/>
      </w:divBdr>
    </w:div>
    <w:div w:id="339742547">
      <w:bodyDiv w:val="1"/>
      <w:marLeft w:val="0"/>
      <w:marRight w:val="0"/>
      <w:marTop w:val="0"/>
      <w:marBottom w:val="0"/>
      <w:divBdr>
        <w:top w:val="none" w:sz="0" w:space="0" w:color="auto"/>
        <w:left w:val="none" w:sz="0" w:space="0" w:color="auto"/>
        <w:bottom w:val="none" w:sz="0" w:space="0" w:color="auto"/>
        <w:right w:val="none" w:sz="0" w:space="0" w:color="auto"/>
      </w:divBdr>
      <w:divsChild>
        <w:div w:id="1288467368">
          <w:marLeft w:val="0"/>
          <w:marRight w:val="0"/>
          <w:marTop w:val="0"/>
          <w:marBottom w:val="0"/>
          <w:divBdr>
            <w:top w:val="none" w:sz="0" w:space="0" w:color="auto"/>
            <w:left w:val="none" w:sz="0" w:space="0" w:color="auto"/>
            <w:bottom w:val="none" w:sz="0" w:space="0" w:color="auto"/>
            <w:right w:val="none" w:sz="0" w:space="0" w:color="auto"/>
          </w:divBdr>
          <w:divsChild>
            <w:div w:id="260456878">
              <w:marLeft w:val="0"/>
              <w:marRight w:val="0"/>
              <w:marTop w:val="0"/>
              <w:marBottom w:val="0"/>
              <w:divBdr>
                <w:top w:val="none" w:sz="0" w:space="0" w:color="auto"/>
                <w:left w:val="none" w:sz="0" w:space="0" w:color="auto"/>
                <w:bottom w:val="none" w:sz="0" w:space="0" w:color="auto"/>
                <w:right w:val="none" w:sz="0" w:space="0" w:color="auto"/>
              </w:divBdr>
              <w:divsChild>
                <w:div w:id="1156802084">
                  <w:marLeft w:val="0"/>
                  <w:marRight w:val="0"/>
                  <w:marTop w:val="0"/>
                  <w:marBottom w:val="0"/>
                  <w:divBdr>
                    <w:top w:val="none" w:sz="0" w:space="0" w:color="auto"/>
                    <w:left w:val="none" w:sz="0" w:space="0" w:color="auto"/>
                    <w:bottom w:val="none" w:sz="0" w:space="0" w:color="auto"/>
                    <w:right w:val="none" w:sz="0" w:space="0" w:color="auto"/>
                  </w:divBdr>
                  <w:divsChild>
                    <w:div w:id="1923027717">
                      <w:marLeft w:val="2325"/>
                      <w:marRight w:val="0"/>
                      <w:marTop w:val="0"/>
                      <w:marBottom w:val="0"/>
                      <w:divBdr>
                        <w:top w:val="none" w:sz="0" w:space="0" w:color="auto"/>
                        <w:left w:val="none" w:sz="0" w:space="0" w:color="auto"/>
                        <w:bottom w:val="none" w:sz="0" w:space="0" w:color="auto"/>
                        <w:right w:val="none" w:sz="0" w:space="0" w:color="auto"/>
                      </w:divBdr>
                      <w:divsChild>
                        <w:div w:id="1261838551">
                          <w:marLeft w:val="0"/>
                          <w:marRight w:val="0"/>
                          <w:marTop w:val="0"/>
                          <w:marBottom w:val="0"/>
                          <w:divBdr>
                            <w:top w:val="none" w:sz="0" w:space="0" w:color="auto"/>
                            <w:left w:val="none" w:sz="0" w:space="0" w:color="auto"/>
                            <w:bottom w:val="none" w:sz="0" w:space="0" w:color="auto"/>
                            <w:right w:val="none" w:sz="0" w:space="0" w:color="auto"/>
                          </w:divBdr>
                          <w:divsChild>
                            <w:div w:id="909996632">
                              <w:marLeft w:val="75"/>
                              <w:marRight w:val="75"/>
                              <w:marTop w:val="75"/>
                              <w:marBottom w:val="75"/>
                              <w:divBdr>
                                <w:top w:val="none" w:sz="0" w:space="0" w:color="auto"/>
                                <w:left w:val="none" w:sz="0" w:space="0" w:color="auto"/>
                                <w:bottom w:val="none" w:sz="0" w:space="0" w:color="auto"/>
                                <w:right w:val="none" w:sz="0" w:space="0" w:color="auto"/>
                              </w:divBdr>
                              <w:divsChild>
                                <w:div w:id="1692342168">
                                  <w:marLeft w:val="0"/>
                                  <w:marRight w:val="0"/>
                                  <w:marTop w:val="0"/>
                                  <w:marBottom w:val="0"/>
                                  <w:divBdr>
                                    <w:top w:val="none" w:sz="0" w:space="0" w:color="auto"/>
                                    <w:left w:val="none" w:sz="0" w:space="0" w:color="auto"/>
                                    <w:bottom w:val="none" w:sz="0" w:space="0" w:color="auto"/>
                                    <w:right w:val="none" w:sz="0" w:space="0" w:color="auto"/>
                                  </w:divBdr>
                                  <w:divsChild>
                                    <w:div w:id="1279993394">
                                      <w:marLeft w:val="0"/>
                                      <w:marRight w:val="0"/>
                                      <w:marTop w:val="0"/>
                                      <w:marBottom w:val="0"/>
                                      <w:divBdr>
                                        <w:top w:val="none" w:sz="0" w:space="0" w:color="auto"/>
                                        <w:left w:val="none" w:sz="0" w:space="0" w:color="auto"/>
                                        <w:bottom w:val="none" w:sz="0" w:space="0" w:color="auto"/>
                                        <w:right w:val="none" w:sz="0" w:space="0" w:color="auto"/>
                                      </w:divBdr>
                                      <w:divsChild>
                                        <w:div w:id="604850670">
                                          <w:marLeft w:val="0"/>
                                          <w:marRight w:val="-3525"/>
                                          <w:marTop w:val="0"/>
                                          <w:marBottom w:val="0"/>
                                          <w:divBdr>
                                            <w:top w:val="none" w:sz="0" w:space="0" w:color="auto"/>
                                            <w:left w:val="none" w:sz="0" w:space="0" w:color="auto"/>
                                            <w:bottom w:val="none" w:sz="0" w:space="0" w:color="auto"/>
                                            <w:right w:val="none" w:sz="0" w:space="0" w:color="auto"/>
                                          </w:divBdr>
                                          <w:divsChild>
                                            <w:div w:id="1035427057">
                                              <w:marLeft w:val="0"/>
                                              <w:marRight w:val="3225"/>
                                              <w:marTop w:val="0"/>
                                              <w:marBottom w:val="0"/>
                                              <w:divBdr>
                                                <w:top w:val="none" w:sz="0" w:space="0" w:color="auto"/>
                                                <w:left w:val="none" w:sz="0" w:space="0" w:color="auto"/>
                                                <w:bottom w:val="none" w:sz="0" w:space="0" w:color="auto"/>
                                                <w:right w:val="none" w:sz="0" w:space="0" w:color="auto"/>
                                              </w:divBdr>
                                              <w:divsChild>
                                                <w:div w:id="1029254893">
                                                  <w:marLeft w:val="15"/>
                                                  <w:marRight w:val="15"/>
                                                  <w:marTop w:val="15"/>
                                                  <w:marBottom w:val="15"/>
                                                  <w:divBdr>
                                                    <w:top w:val="none" w:sz="0" w:space="0" w:color="auto"/>
                                                    <w:left w:val="none" w:sz="0" w:space="0" w:color="auto"/>
                                                    <w:bottom w:val="none" w:sz="0" w:space="0" w:color="auto"/>
                                                    <w:right w:val="none" w:sz="0" w:space="0" w:color="auto"/>
                                                  </w:divBdr>
                                                  <w:divsChild>
                                                    <w:div w:id="76949338">
                                                      <w:marLeft w:val="0"/>
                                                      <w:marRight w:val="0"/>
                                                      <w:marTop w:val="0"/>
                                                      <w:marBottom w:val="0"/>
                                                      <w:divBdr>
                                                        <w:top w:val="none" w:sz="0" w:space="0" w:color="auto"/>
                                                        <w:left w:val="none" w:sz="0" w:space="0" w:color="auto"/>
                                                        <w:bottom w:val="none" w:sz="0" w:space="0" w:color="auto"/>
                                                        <w:right w:val="none" w:sz="0" w:space="0" w:color="auto"/>
                                                      </w:divBdr>
                                                      <w:divsChild>
                                                        <w:div w:id="3847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0709228">
      <w:bodyDiv w:val="1"/>
      <w:marLeft w:val="0"/>
      <w:marRight w:val="0"/>
      <w:marTop w:val="0"/>
      <w:marBottom w:val="0"/>
      <w:divBdr>
        <w:top w:val="none" w:sz="0" w:space="0" w:color="auto"/>
        <w:left w:val="none" w:sz="0" w:space="0" w:color="auto"/>
        <w:bottom w:val="none" w:sz="0" w:space="0" w:color="auto"/>
        <w:right w:val="none" w:sz="0" w:space="0" w:color="auto"/>
      </w:divBdr>
    </w:div>
    <w:div w:id="790394575">
      <w:bodyDiv w:val="1"/>
      <w:marLeft w:val="0"/>
      <w:marRight w:val="0"/>
      <w:marTop w:val="0"/>
      <w:marBottom w:val="0"/>
      <w:divBdr>
        <w:top w:val="none" w:sz="0" w:space="0" w:color="auto"/>
        <w:left w:val="none" w:sz="0" w:space="0" w:color="auto"/>
        <w:bottom w:val="none" w:sz="0" w:space="0" w:color="auto"/>
        <w:right w:val="none" w:sz="0" w:space="0" w:color="auto"/>
      </w:divBdr>
    </w:div>
    <w:div w:id="804195784">
      <w:bodyDiv w:val="1"/>
      <w:marLeft w:val="0"/>
      <w:marRight w:val="0"/>
      <w:marTop w:val="0"/>
      <w:marBottom w:val="0"/>
      <w:divBdr>
        <w:top w:val="none" w:sz="0" w:space="0" w:color="auto"/>
        <w:left w:val="none" w:sz="0" w:space="0" w:color="auto"/>
        <w:bottom w:val="none" w:sz="0" w:space="0" w:color="auto"/>
        <w:right w:val="none" w:sz="0" w:space="0" w:color="auto"/>
      </w:divBdr>
    </w:div>
    <w:div w:id="1262107752">
      <w:bodyDiv w:val="1"/>
      <w:marLeft w:val="0"/>
      <w:marRight w:val="0"/>
      <w:marTop w:val="0"/>
      <w:marBottom w:val="0"/>
      <w:divBdr>
        <w:top w:val="none" w:sz="0" w:space="0" w:color="auto"/>
        <w:left w:val="none" w:sz="0" w:space="0" w:color="auto"/>
        <w:bottom w:val="none" w:sz="0" w:space="0" w:color="auto"/>
        <w:right w:val="none" w:sz="0" w:space="0" w:color="auto"/>
      </w:divBdr>
      <w:divsChild>
        <w:div w:id="98375216">
          <w:marLeft w:val="0"/>
          <w:marRight w:val="0"/>
          <w:marTop w:val="0"/>
          <w:marBottom w:val="0"/>
          <w:divBdr>
            <w:top w:val="none" w:sz="0" w:space="0" w:color="auto"/>
            <w:left w:val="none" w:sz="0" w:space="0" w:color="auto"/>
            <w:bottom w:val="none" w:sz="0" w:space="0" w:color="auto"/>
            <w:right w:val="none" w:sz="0" w:space="0" w:color="auto"/>
          </w:divBdr>
          <w:divsChild>
            <w:div w:id="1543178354">
              <w:marLeft w:val="0"/>
              <w:marRight w:val="0"/>
              <w:marTop w:val="0"/>
              <w:marBottom w:val="0"/>
              <w:divBdr>
                <w:top w:val="none" w:sz="0" w:space="0" w:color="auto"/>
                <w:left w:val="none" w:sz="0" w:space="0" w:color="auto"/>
                <w:bottom w:val="none" w:sz="0" w:space="0" w:color="auto"/>
                <w:right w:val="none" w:sz="0" w:space="0" w:color="auto"/>
              </w:divBdr>
              <w:divsChild>
                <w:div w:id="1924413736">
                  <w:marLeft w:val="0"/>
                  <w:marRight w:val="0"/>
                  <w:marTop w:val="0"/>
                  <w:marBottom w:val="0"/>
                  <w:divBdr>
                    <w:top w:val="none" w:sz="0" w:space="0" w:color="auto"/>
                    <w:left w:val="none" w:sz="0" w:space="0" w:color="auto"/>
                    <w:bottom w:val="none" w:sz="0" w:space="0" w:color="auto"/>
                    <w:right w:val="none" w:sz="0" w:space="0" w:color="auto"/>
                  </w:divBdr>
                  <w:divsChild>
                    <w:div w:id="35086275">
                      <w:marLeft w:val="2325"/>
                      <w:marRight w:val="0"/>
                      <w:marTop w:val="0"/>
                      <w:marBottom w:val="0"/>
                      <w:divBdr>
                        <w:top w:val="none" w:sz="0" w:space="0" w:color="auto"/>
                        <w:left w:val="none" w:sz="0" w:space="0" w:color="auto"/>
                        <w:bottom w:val="none" w:sz="0" w:space="0" w:color="auto"/>
                        <w:right w:val="none" w:sz="0" w:space="0" w:color="auto"/>
                      </w:divBdr>
                      <w:divsChild>
                        <w:div w:id="1479805299">
                          <w:marLeft w:val="0"/>
                          <w:marRight w:val="0"/>
                          <w:marTop w:val="0"/>
                          <w:marBottom w:val="0"/>
                          <w:divBdr>
                            <w:top w:val="none" w:sz="0" w:space="0" w:color="auto"/>
                            <w:left w:val="none" w:sz="0" w:space="0" w:color="auto"/>
                            <w:bottom w:val="none" w:sz="0" w:space="0" w:color="auto"/>
                            <w:right w:val="none" w:sz="0" w:space="0" w:color="auto"/>
                          </w:divBdr>
                          <w:divsChild>
                            <w:div w:id="580716967">
                              <w:marLeft w:val="75"/>
                              <w:marRight w:val="75"/>
                              <w:marTop w:val="75"/>
                              <w:marBottom w:val="75"/>
                              <w:divBdr>
                                <w:top w:val="none" w:sz="0" w:space="0" w:color="auto"/>
                                <w:left w:val="none" w:sz="0" w:space="0" w:color="auto"/>
                                <w:bottom w:val="none" w:sz="0" w:space="0" w:color="auto"/>
                                <w:right w:val="none" w:sz="0" w:space="0" w:color="auto"/>
                              </w:divBdr>
                              <w:divsChild>
                                <w:div w:id="1654674202">
                                  <w:marLeft w:val="0"/>
                                  <w:marRight w:val="0"/>
                                  <w:marTop w:val="0"/>
                                  <w:marBottom w:val="0"/>
                                  <w:divBdr>
                                    <w:top w:val="none" w:sz="0" w:space="0" w:color="auto"/>
                                    <w:left w:val="none" w:sz="0" w:space="0" w:color="auto"/>
                                    <w:bottom w:val="none" w:sz="0" w:space="0" w:color="auto"/>
                                    <w:right w:val="none" w:sz="0" w:space="0" w:color="auto"/>
                                  </w:divBdr>
                                  <w:divsChild>
                                    <w:div w:id="1258706819">
                                      <w:marLeft w:val="0"/>
                                      <w:marRight w:val="0"/>
                                      <w:marTop w:val="0"/>
                                      <w:marBottom w:val="0"/>
                                      <w:divBdr>
                                        <w:top w:val="none" w:sz="0" w:space="0" w:color="auto"/>
                                        <w:left w:val="none" w:sz="0" w:space="0" w:color="auto"/>
                                        <w:bottom w:val="none" w:sz="0" w:space="0" w:color="auto"/>
                                        <w:right w:val="none" w:sz="0" w:space="0" w:color="auto"/>
                                      </w:divBdr>
                                      <w:divsChild>
                                        <w:div w:id="1589727286">
                                          <w:marLeft w:val="0"/>
                                          <w:marRight w:val="-3525"/>
                                          <w:marTop w:val="0"/>
                                          <w:marBottom w:val="0"/>
                                          <w:divBdr>
                                            <w:top w:val="none" w:sz="0" w:space="0" w:color="auto"/>
                                            <w:left w:val="none" w:sz="0" w:space="0" w:color="auto"/>
                                            <w:bottom w:val="none" w:sz="0" w:space="0" w:color="auto"/>
                                            <w:right w:val="none" w:sz="0" w:space="0" w:color="auto"/>
                                          </w:divBdr>
                                          <w:divsChild>
                                            <w:div w:id="226958694">
                                              <w:marLeft w:val="0"/>
                                              <w:marRight w:val="3225"/>
                                              <w:marTop w:val="0"/>
                                              <w:marBottom w:val="0"/>
                                              <w:divBdr>
                                                <w:top w:val="none" w:sz="0" w:space="0" w:color="auto"/>
                                                <w:left w:val="none" w:sz="0" w:space="0" w:color="auto"/>
                                                <w:bottom w:val="none" w:sz="0" w:space="0" w:color="auto"/>
                                                <w:right w:val="none" w:sz="0" w:space="0" w:color="auto"/>
                                              </w:divBdr>
                                              <w:divsChild>
                                                <w:div w:id="1367560775">
                                                  <w:marLeft w:val="15"/>
                                                  <w:marRight w:val="15"/>
                                                  <w:marTop w:val="15"/>
                                                  <w:marBottom w:val="15"/>
                                                  <w:divBdr>
                                                    <w:top w:val="none" w:sz="0" w:space="0" w:color="auto"/>
                                                    <w:left w:val="none" w:sz="0" w:space="0" w:color="auto"/>
                                                    <w:bottom w:val="none" w:sz="0" w:space="0" w:color="auto"/>
                                                    <w:right w:val="none" w:sz="0" w:space="0" w:color="auto"/>
                                                  </w:divBdr>
                                                  <w:divsChild>
                                                    <w:div w:id="627315835">
                                                      <w:marLeft w:val="0"/>
                                                      <w:marRight w:val="0"/>
                                                      <w:marTop w:val="0"/>
                                                      <w:marBottom w:val="0"/>
                                                      <w:divBdr>
                                                        <w:top w:val="none" w:sz="0" w:space="0" w:color="auto"/>
                                                        <w:left w:val="none" w:sz="0" w:space="0" w:color="auto"/>
                                                        <w:bottom w:val="none" w:sz="0" w:space="0" w:color="auto"/>
                                                        <w:right w:val="none" w:sz="0" w:space="0" w:color="auto"/>
                                                      </w:divBdr>
                                                      <w:divsChild>
                                                        <w:div w:id="6791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301649">
      <w:bodyDiv w:val="1"/>
      <w:marLeft w:val="0"/>
      <w:marRight w:val="0"/>
      <w:marTop w:val="0"/>
      <w:marBottom w:val="0"/>
      <w:divBdr>
        <w:top w:val="none" w:sz="0" w:space="0" w:color="auto"/>
        <w:left w:val="none" w:sz="0" w:space="0" w:color="auto"/>
        <w:bottom w:val="none" w:sz="0" w:space="0" w:color="auto"/>
        <w:right w:val="none" w:sz="0" w:space="0" w:color="auto"/>
      </w:divBdr>
    </w:div>
    <w:div w:id="198010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roderCommissions@schroder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yintranet.london.schroders.com/channels/index/lux-fund-services/Pages/Agreement_Template.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48F2A52BBA746B173FB45B8902FD2" ma:contentTypeVersion="1" ma:contentTypeDescription="Create a new document." ma:contentTypeScope="" ma:versionID="9ca5729223e0e7e2c3d2f82a0a5bffff">
  <xsd:schema xmlns:xsd="http://www.w3.org/2001/XMLSchema" xmlns:xs="http://www.w3.org/2001/XMLSchema" xmlns:p="http://schemas.microsoft.com/office/2006/metadata/properties" xmlns:ns2="6c790d2f-0a8d-4e5d-9085-0c1a76ec5193" targetNamespace="http://schemas.microsoft.com/office/2006/metadata/properties" ma:root="true" ma:fieldsID="8945f9a9bc0491c336fdea59403d9933" ns2:_="">
    <xsd:import namespace="6c790d2f-0a8d-4e5d-9085-0c1a76ec519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90d2f-0a8d-4e5d-9085-0c1a76ec51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E1F8C-5633-4A82-8D39-718E91401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90d2f-0a8d-4e5d-9085-0c1a76ec5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DDF60-0635-45E1-B5F9-681D7B165AD2}">
  <ds:schemaRefs>
    <ds:schemaRef ds:uri="http://schemas.openxmlformats.org/officeDocument/2006/bibliography"/>
  </ds:schemaRefs>
</ds:datastoreItem>
</file>

<file path=customXml/itemProps3.xml><?xml version="1.0" encoding="utf-8"?>
<ds:datastoreItem xmlns:ds="http://schemas.openxmlformats.org/officeDocument/2006/customXml" ds:itemID="{EEEF60D4-13CC-42B2-A4F4-A1388E4241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B28DE5-71E0-4676-8530-0CE269C0B4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Schroders Luxembourg - Rebate Process Overview - for EXTERNAL USE.doc</vt:lpstr>
    </vt:vector>
  </TitlesOfParts>
  <Company>Schroders</Company>
  <LinksUpToDate>false</LinksUpToDate>
  <CharactersWithSpaces>8518</CharactersWithSpaces>
  <SharedDoc>false</SharedDoc>
  <HLinks>
    <vt:vector size="48" baseType="variant">
      <vt:variant>
        <vt:i4>1769574</vt:i4>
      </vt:variant>
      <vt:variant>
        <vt:i4>21</vt:i4>
      </vt:variant>
      <vt:variant>
        <vt:i4>0</vt:i4>
      </vt:variant>
      <vt:variant>
        <vt:i4>5</vt:i4>
      </vt:variant>
      <vt:variant>
        <vt:lpwstr>mailto:Milos.Bijeljic@Schroders.com</vt:lpwstr>
      </vt:variant>
      <vt:variant>
        <vt:lpwstr/>
      </vt:variant>
      <vt:variant>
        <vt:i4>524399</vt:i4>
      </vt:variant>
      <vt:variant>
        <vt:i4>18</vt:i4>
      </vt:variant>
      <vt:variant>
        <vt:i4>0</vt:i4>
      </vt:variant>
      <vt:variant>
        <vt:i4>5</vt:i4>
      </vt:variant>
      <vt:variant>
        <vt:lpwstr>mailto:Mathieu.Spiess@Schroders.com</vt:lpwstr>
      </vt:variant>
      <vt:variant>
        <vt:lpwstr/>
      </vt:variant>
      <vt:variant>
        <vt:i4>7733273</vt:i4>
      </vt:variant>
      <vt:variant>
        <vt:i4>15</vt:i4>
      </vt:variant>
      <vt:variant>
        <vt:i4>0</vt:i4>
      </vt:variant>
      <vt:variant>
        <vt:i4>5</vt:i4>
      </vt:variant>
      <vt:variant>
        <vt:lpwstr>mailto:Salahdine.Elorch@Schroders.com</vt:lpwstr>
      </vt:variant>
      <vt:variant>
        <vt:lpwstr/>
      </vt:variant>
      <vt:variant>
        <vt:i4>4325477</vt:i4>
      </vt:variant>
      <vt:variant>
        <vt:i4>12</vt:i4>
      </vt:variant>
      <vt:variant>
        <vt:i4>0</vt:i4>
      </vt:variant>
      <vt:variant>
        <vt:i4>5</vt:i4>
      </vt:variant>
      <vt:variant>
        <vt:lpwstr>mailto:Marija.Didier-Pavic@Schroders.com</vt:lpwstr>
      </vt:variant>
      <vt:variant>
        <vt:lpwstr/>
      </vt:variant>
      <vt:variant>
        <vt:i4>2162754</vt:i4>
      </vt:variant>
      <vt:variant>
        <vt:i4>9</vt:i4>
      </vt:variant>
      <vt:variant>
        <vt:i4>0</vt:i4>
      </vt:variant>
      <vt:variant>
        <vt:i4>5</vt:i4>
      </vt:variant>
      <vt:variant>
        <vt:lpwstr>mailto:Shideh.Gholamianzadeh@Schroders.com</vt:lpwstr>
      </vt:variant>
      <vt:variant>
        <vt:lpwstr/>
      </vt:variant>
      <vt:variant>
        <vt:i4>1441896</vt:i4>
      </vt:variant>
      <vt:variant>
        <vt:i4>6</vt:i4>
      </vt:variant>
      <vt:variant>
        <vt:i4>0</vt:i4>
      </vt:variant>
      <vt:variant>
        <vt:i4>5</vt:i4>
      </vt:variant>
      <vt:variant>
        <vt:lpwstr>mailto:Emeline.Humbert@schroders.com</vt:lpwstr>
      </vt:variant>
      <vt:variant>
        <vt:lpwstr/>
      </vt:variant>
      <vt:variant>
        <vt:i4>1507389</vt:i4>
      </vt:variant>
      <vt:variant>
        <vt:i4>3</vt:i4>
      </vt:variant>
      <vt:variant>
        <vt:i4>0</vt:i4>
      </vt:variant>
      <vt:variant>
        <vt:i4>5</vt:i4>
      </vt:variant>
      <vt:variant>
        <vt:lpwstr>mailto:SchroderCommissions@schroders.com</vt:lpwstr>
      </vt:variant>
      <vt:variant>
        <vt:lpwstr/>
      </vt:variant>
      <vt:variant>
        <vt:i4>6422570</vt:i4>
      </vt:variant>
      <vt:variant>
        <vt:i4>0</vt:i4>
      </vt:variant>
      <vt:variant>
        <vt:i4>0</vt:i4>
      </vt:variant>
      <vt:variant>
        <vt:i4>5</vt:i4>
      </vt:variant>
      <vt:variant>
        <vt:lpwstr>http://icevbcs.london.schroders.com/gm/document-1.9.1189022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Schroders Luxembourg - Rebate Process Overview - for EXTERNAL USE.doc</dc:title>
  <dc:creator>Schroders</dc:creator>
  <cp:lastModifiedBy>Laliotis, Theodore</cp:lastModifiedBy>
  <cp:revision>11</cp:revision>
  <cp:lastPrinted>2005-12-22T11:41:00Z</cp:lastPrinted>
  <dcterms:created xsi:type="dcterms:W3CDTF">2021-03-08T10:38:00Z</dcterms:created>
  <dcterms:modified xsi:type="dcterms:W3CDTF">2023-01-23T08:30:00Z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0x010100F3A48F2A52BBA746B173FB45B8902FD2</vt:lpwstr>
  </property>
  <property fmtid="{D5CDD505-2E9C-101B-9397-08002B2CF9AE}" pid="4" name="_AdHocReviewCycleID">
    <vt:i4>942428856</vt:i4>
  </property>
  <property fmtid="{D5CDD505-2E9C-101B-9397-08002B2CF9AE}" pid="5" name="_EmailSubject">
    <vt:lpwstr>please update http://myintranet.london.schroders.com/channels/index/lux-fund-services/Pages/Rebate-process-overview.aspx</vt:lpwstr>
  </property>
  <property fmtid="{D5CDD505-2E9C-101B-9397-08002B2CF9AE}" pid="6" name="_AuthorEmail">
    <vt:lpwstr>theodore.laliotis@schroders.com</vt:lpwstr>
  </property>
  <property fmtid="{D5CDD505-2E9C-101B-9397-08002B2CF9AE}" pid="7" name="_AuthorEmailDisplayName">
    <vt:lpwstr>Laliotis, Theodore</vt:lpwstr>
  </property>
  <property fmtid="{D5CDD505-2E9C-101B-9397-08002B2CF9AE}" pid="8" name="_PreviousAdHocReviewCycleID">
    <vt:i4>-758701606</vt:i4>
  </property>
  <property fmtid="{D5CDD505-2E9C-101B-9397-08002B2CF9AE}" pid="9" name="_ReviewingToolsShownOnce">
    <vt:lpwstr/>
  </property>
</Properties>
</file>